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0234FE" w:rsidRDefault="004C1092" w:rsidP="00983417">
      <w:pPr>
        <w:pStyle w:val="Titlu"/>
        <w:spacing w:after="120" w:line="240" w:lineRule="auto"/>
        <w:jc w:val="left"/>
        <w:rPr>
          <w:b w:val="0"/>
          <w:bCs/>
          <w:sz w:val="24"/>
          <w:szCs w:val="24"/>
        </w:rPr>
      </w:pPr>
    </w:p>
    <w:p w14:paraId="39FCDFA5" w14:textId="19EA04FD" w:rsidR="0064777F" w:rsidRPr="000234FE" w:rsidRDefault="0064777F" w:rsidP="008838DB">
      <w:pPr>
        <w:pStyle w:val="Titlu"/>
        <w:spacing w:after="120" w:line="240" w:lineRule="auto"/>
        <w:rPr>
          <w:b w:val="0"/>
          <w:bCs/>
          <w:sz w:val="24"/>
          <w:szCs w:val="24"/>
        </w:rPr>
      </w:pPr>
      <w:r w:rsidRPr="000234FE">
        <w:rPr>
          <w:b w:val="0"/>
          <w:bCs/>
          <w:sz w:val="24"/>
          <w:szCs w:val="24"/>
        </w:rPr>
        <w:t>NOTĂ DE FUNDAMENTARE</w:t>
      </w:r>
    </w:p>
    <w:p w14:paraId="41CE2BC3" w14:textId="1D71A71E" w:rsidR="008A040A" w:rsidRPr="000234FE" w:rsidRDefault="008A040A" w:rsidP="008838DB">
      <w:pPr>
        <w:pStyle w:val="Titlu"/>
        <w:spacing w:after="120" w:line="240" w:lineRule="auto"/>
        <w:rPr>
          <w:b w:val="0"/>
          <w:bCs/>
          <w:sz w:val="24"/>
          <w:szCs w:val="24"/>
        </w:rPr>
      </w:pPr>
    </w:p>
    <w:p w14:paraId="0448C4F0" w14:textId="77777777" w:rsidR="00223491" w:rsidRPr="00D224F3" w:rsidRDefault="00223491" w:rsidP="00F95710">
      <w:pPr>
        <w:pStyle w:val="Titlu"/>
        <w:spacing w:line="240" w:lineRule="auto"/>
        <w:ind w:firstLine="720"/>
        <w:jc w:val="left"/>
        <w:rPr>
          <w:sz w:val="24"/>
          <w:szCs w:val="24"/>
        </w:rPr>
      </w:pPr>
      <w:r w:rsidRPr="00D224F3">
        <w:rPr>
          <w:sz w:val="24"/>
          <w:szCs w:val="24"/>
        </w:rPr>
        <w:t>Secțiunea 1</w:t>
      </w:r>
    </w:p>
    <w:p w14:paraId="78C75447" w14:textId="76B7EDCC" w:rsidR="00223491" w:rsidRPr="00D224F3" w:rsidRDefault="00223491" w:rsidP="00F95710">
      <w:pPr>
        <w:pStyle w:val="Titlu"/>
        <w:spacing w:line="240" w:lineRule="auto"/>
        <w:ind w:firstLine="720"/>
        <w:jc w:val="left"/>
        <w:rPr>
          <w:sz w:val="24"/>
          <w:szCs w:val="24"/>
        </w:rPr>
      </w:pPr>
      <w:r w:rsidRPr="00D224F3">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0234FE" w14:paraId="117C71DD" w14:textId="77777777" w:rsidTr="00223491">
        <w:tc>
          <w:tcPr>
            <w:tcW w:w="10490" w:type="dxa"/>
          </w:tcPr>
          <w:p w14:paraId="338F09EC" w14:textId="429DA5C6" w:rsidR="00670C79" w:rsidRPr="000234FE" w:rsidRDefault="0016469A" w:rsidP="00F95710">
            <w:pPr>
              <w:widowControl w:val="0"/>
              <w:spacing w:after="120"/>
              <w:jc w:val="both"/>
              <w:rPr>
                <w:bCs/>
                <w:lang w:eastAsia="ro-RO"/>
              </w:rPr>
            </w:pPr>
            <w:r w:rsidRPr="000234FE">
              <w:rPr>
                <w:bCs/>
              </w:rPr>
              <w:t xml:space="preserve">Hotărâre </w:t>
            </w:r>
            <w:r w:rsidR="00961798" w:rsidRPr="000234FE">
              <w:rPr>
                <w:bCs/>
              </w:rPr>
              <w:t>privind aprobarea decertificării definitive a unor cheltuieli aferente anului contabil 202</w:t>
            </w:r>
            <w:r w:rsidR="004C5B80" w:rsidRPr="000234FE">
              <w:rPr>
                <w:bCs/>
              </w:rPr>
              <w:t>1</w:t>
            </w:r>
            <w:r w:rsidR="00961798" w:rsidRPr="000234FE">
              <w:rPr>
                <w:bCs/>
              </w:rPr>
              <w:t>-202</w:t>
            </w:r>
            <w:r w:rsidR="004C5B80" w:rsidRPr="000234FE">
              <w:rPr>
                <w:bCs/>
              </w:rPr>
              <w:t>2</w:t>
            </w:r>
            <w:r w:rsidR="00961798" w:rsidRPr="000234FE">
              <w:rPr>
                <w:bCs/>
              </w:rPr>
              <w:t>, pentru proiectele finanțate prin Programul Operațional Capital Uman</w:t>
            </w:r>
          </w:p>
        </w:tc>
      </w:tr>
    </w:tbl>
    <w:p w14:paraId="10EE1EC2" w14:textId="77777777" w:rsidR="008A040A" w:rsidRPr="000234FE" w:rsidRDefault="008A040A" w:rsidP="00F95710">
      <w:pPr>
        <w:ind w:firstLine="720"/>
        <w:jc w:val="both"/>
        <w:rPr>
          <w:bCs/>
          <w:lang w:eastAsia="ro-RO"/>
        </w:rPr>
      </w:pPr>
    </w:p>
    <w:p w14:paraId="33C1CD30" w14:textId="1E5031E9" w:rsidR="00223491" w:rsidRPr="00D224F3" w:rsidRDefault="00C5468F" w:rsidP="00F95710">
      <w:pPr>
        <w:ind w:firstLine="720"/>
        <w:jc w:val="both"/>
        <w:rPr>
          <w:b/>
          <w:lang w:eastAsia="ro-RO"/>
        </w:rPr>
      </w:pPr>
      <w:r w:rsidRPr="00D224F3">
        <w:rPr>
          <w:b/>
          <w:lang w:eastAsia="ro-RO"/>
        </w:rPr>
        <w:t>Secțiunea</w:t>
      </w:r>
      <w:r w:rsidR="00670C79" w:rsidRPr="00D224F3">
        <w:rPr>
          <w:b/>
          <w:lang w:eastAsia="ro-RO"/>
        </w:rPr>
        <w:t xml:space="preserve"> a 2-a  </w:t>
      </w:r>
    </w:p>
    <w:p w14:paraId="23181ACA" w14:textId="4A5ED943" w:rsidR="00CB78C4" w:rsidRPr="00D224F3" w:rsidRDefault="00670C79" w:rsidP="00F95710">
      <w:pPr>
        <w:ind w:firstLine="720"/>
        <w:jc w:val="both"/>
        <w:rPr>
          <w:b/>
          <w:lang w:eastAsia="ro-RO"/>
        </w:rPr>
      </w:pPr>
      <w:r w:rsidRPr="00D224F3">
        <w:rPr>
          <w:b/>
          <w:lang w:eastAsia="ro-RO"/>
        </w:rPr>
        <w:t>Motivul emiterii actului normativ</w:t>
      </w:r>
      <w:r w:rsidR="0066428B" w:rsidRPr="00D224F3">
        <w:rPr>
          <w:b/>
          <w:lang w:eastAsia="ro-RO"/>
        </w:rPr>
        <w:t xml:space="preserve"> </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0234FE" w14:paraId="47D7FD1D" w14:textId="77777777" w:rsidTr="00E669C2">
        <w:trPr>
          <w:trHeight w:val="841"/>
        </w:trPr>
        <w:tc>
          <w:tcPr>
            <w:tcW w:w="10490" w:type="dxa"/>
          </w:tcPr>
          <w:p w14:paraId="083EB0F1" w14:textId="77777777" w:rsidR="008441CD" w:rsidRPr="00D224F3" w:rsidRDefault="00223491" w:rsidP="00F95710">
            <w:pPr>
              <w:autoSpaceDE w:val="0"/>
              <w:autoSpaceDN w:val="0"/>
              <w:adjustRightInd w:val="0"/>
              <w:jc w:val="both"/>
              <w:rPr>
                <w:b/>
                <w:lang w:eastAsia="ro-RO"/>
              </w:rPr>
            </w:pPr>
            <w:r w:rsidRPr="00D224F3">
              <w:rPr>
                <w:b/>
                <w:lang w:eastAsia="ro-RO"/>
              </w:rPr>
              <w:t xml:space="preserve">2.1 Sursa proiectului de act normativ </w:t>
            </w:r>
          </w:p>
          <w:p w14:paraId="7C120CEB" w14:textId="725D7C1E" w:rsidR="000724BE" w:rsidRPr="000234FE" w:rsidRDefault="000724BE" w:rsidP="000724BE">
            <w:pPr>
              <w:autoSpaceDE w:val="0"/>
              <w:autoSpaceDN w:val="0"/>
              <w:adjustRightInd w:val="0"/>
              <w:jc w:val="both"/>
              <w:rPr>
                <w:bCs/>
                <w:color w:val="FF0000"/>
                <w:lang w:eastAsia="ro-RO"/>
              </w:rPr>
            </w:pPr>
            <w:r w:rsidRPr="000234FE">
              <w:rPr>
                <w:bCs/>
              </w:rPr>
              <w:t>Scrisoarea Ares(2023) 3066262- 02/05/2023 transmisă de Comisia Europeană (CE) - DG Employment, Social Affairs and Inclusion Regional and Urban Policy</w:t>
            </w:r>
            <w:r w:rsidRPr="000234FE">
              <w:rPr>
                <w:bCs/>
                <w:color w:val="FF0000"/>
                <w:lang w:eastAsia="ro-RO"/>
              </w:rPr>
              <w:t xml:space="preserve"> </w:t>
            </w:r>
          </w:p>
          <w:p w14:paraId="777690A7" w14:textId="0F99A469" w:rsidR="00223491" w:rsidRPr="00D224F3" w:rsidRDefault="00223491" w:rsidP="00F95710">
            <w:pPr>
              <w:autoSpaceDE w:val="0"/>
              <w:autoSpaceDN w:val="0"/>
              <w:adjustRightInd w:val="0"/>
              <w:jc w:val="both"/>
              <w:rPr>
                <w:b/>
                <w:lang w:eastAsia="ro-RO"/>
              </w:rPr>
            </w:pPr>
            <w:r w:rsidRPr="00D224F3">
              <w:rPr>
                <w:b/>
                <w:lang w:eastAsia="ro-RO"/>
              </w:rPr>
              <w:t>2.2 Descrierea situației actuale</w:t>
            </w:r>
          </w:p>
          <w:p w14:paraId="0A58A3E3" w14:textId="7543CBE2" w:rsidR="00D334E2" w:rsidRPr="000234FE" w:rsidRDefault="00D334E2" w:rsidP="00D334E2">
            <w:pPr>
              <w:shd w:val="clear" w:color="auto" w:fill="FFFFFF"/>
              <w:jc w:val="both"/>
              <w:rPr>
                <w:bCs/>
              </w:rPr>
            </w:pPr>
            <w:r w:rsidRPr="000234FE">
              <w:rPr>
                <w:bCs/>
              </w:rPr>
              <w:t>La data de 28.02.2023 statul membru a transmis CE documentele prevăzute la art. 138 din Regulamentul (UE) nr.1303/2013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nr.1083/2006 al Consiliului, respectiv:</w:t>
            </w:r>
          </w:p>
          <w:p w14:paraId="0593F876" w14:textId="77777777" w:rsidR="00D334E2" w:rsidRPr="000234FE" w:rsidRDefault="00D334E2" w:rsidP="00D334E2">
            <w:pPr>
              <w:shd w:val="clear" w:color="auto" w:fill="FFFFFF"/>
              <w:jc w:val="both"/>
              <w:rPr>
                <w:bCs/>
              </w:rPr>
            </w:pPr>
            <w:r w:rsidRPr="000234FE">
              <w:rPr>
                <w:bCs/>
              </w:rPr>
              <w:t xml:space="preserve">(a) conturile menționate la articolul 137 alineatul (1) din prezentul regulament pentru exercițiul contabil precedent; </w:t>
            </w:r>
          </w:p>
          <w:p w14:paraId="18AF832E" w14:textId="77777777" w:rsidR="00D334E2" w:rsidRPr="000234FE" w:rsidRDefault="00D334E2" w:rsidP="00D334E2">
            <w:pPr>
              <w:shd w:val="clear" w:color="auto" w:fill="FFFFFF"/>
              <w:jc w:val="both"/>
              <w:rPr>
                <w:bCs/>
              </w:rPr>
            </w:pPr>
            <w:r w:rsidRPr="000234FE">
              <w:rPr>
                <w:bCs/>
              </w:rPr>
              <w:t xml:space="preserve">(b) declarația de management și raportul anual de sinteză menționate la articolul 125 alineatul (4) primul paragraf litera (e) din prezentul regulament pentru exercițiul contabil precedent; </w:t>
            </w:r>
          </w:p>
          <w:p w14:paraId="20482866" w14:textId="77777777" w:rsidR="00D334E2" w:rsidRPr="000234FE" w:rsidRDefault="00D334E2" w:rsidP="00D334E2">
            <w:pPr>
              <w:shd w:val="clear" w:color="auto" w:fill="FFFFFF"/>
              <w:jc w:val="both"/>
              <w:rPr>
                <w:bCs/>
              </w:rPr>
            </w:pPr>
            <w:r w:rsidRPr="000234FE">
              <w:rPr>
                <w:bCs/>
              </w:rPr>
              <w:t>(c) opinia de audit și raportul de control menționate la articolul 127 alineatul (5) primul paragraf literele (a) și (b) din prezentul regulament pentru exercițiul contabil precedent.</w:t>
            </w:r>
          </w:p>
          <w:p w14:paraId="1D32C6F2" w14:textId="240D63EB" w:rsidR="001270A2" w:rsidRPr="000234FE" w:rsidRDefault="000724BE" w:rsidP="000724BE">
            <w:pPr>
              <w:shd w:val="clear" w:color="auto" w:fill="FFFFFF"/>
              <w:jc w:val="both"/>
              <w:rPr>
                <w:bCs/>
              </w:rPr>
            </w:pPr>
            <w:r w:rsidRPr="000234FE">
              <w:rPr>
                <w:bCs/>
              </w:rPr>
              <w:t>Prin scrisoarea Ares(</w:t>
            </w:r>
            <w:r w:rsidR="00D334E2" w:rsidRPr="000234FE">
              <w:rPr>
                <w:bCs/>
              </w:rPr>
              <w:t>2023</w:t>
            </w:r>
            <w:r w:rsidRPr="000234FE">
              <w:rPr>
                <w:bCs/>
              </w:rPr>
              <w:t xml:space="preserve">) 3066262- 02/05/2023, Comisia Europeană (CE) - DG Employment, Social Affairs and Inclusion Regional and Urban Policy </w:t>
            </w:r>
            <w:r w:rsidR="001270A2" w:rsidRPr="000234FE">
              <w:rPr>
                <w:bCs/>
              </w:rPr>
              <w:t xml:space="preserve">solicită </w:t>
            </w:r>
            <w:r w:rsidR="001270A2" w:rsidRPr="00D224F3">
              <w:rPr>
                <w:b/>
                <w:u w:val="single"/>
              </w:rPr>
              <w:t>autorității de management</w:t>
            </w:r>
            <w:r w:rsidR="001270A2" w:rsidRPr="000234FE">
              <w:rPr>
                <w:bCs/>
                <w:color w:val="202124"/>
                <w:lang w:eastAsia="ro-RO"/>
              </w:rPr>
              <w:t xml:space="preserve"> și autorității de certificare să aplice o corecție financiară extrapolată de </w:t>
            </w:r>
            <w:r w:rsidR="001270A2" w:rsidRPr="000234FE">
              <w:rPr>
                <w:bCs/>
              </w:rPr>
              <w:t xml:space="preserve">41.253.761,75 </w:t>
            </w:r>
            <w:r w:rsidR="001270A2" w:rsidRPr="000234FE">
              <w:rPr>
                <w:bCs/>
                <w:color w:val="202124"/>
                <w:lang w:eastAsia="ro-RO"/>
              </w:rPr>
              <w:t>EUR din totalul cheltuielilor eligibile, pentru a reduce RTER sub pragul de materialitate a erorilor de 2%. Această sumă ar trebui să fie dedusă din următoarea aplicație de plată intermediară care va fi trimisă Comisiei.</w:t>
            </w:r>
          </w:p>
          <w:p w14:paraId="12A63618" w14:textId="0A686426" w:rsidR="000724BE" w:rsidRPr="000234FE" w:rsidRDefault="001270A2" w:rsidP="000724BE">
            <w:pPr>
              <w:shd w:val="clear" w:color="auto" w:fill="FFFFFF"/>
              <w:jc w:val="both"/>
              <w:rPr>
                <w:bCs/>
                <w:color w:val="202124"/>
              </w:rPr>
            </w:pPr>
            <w:r w:rsidRPr="000234FE">
              <w:rPr>
                <w:bCs/>
                <w:color w:val="202124"/>
                <w:lang w:eastAsia="ro-RO"/>
              </w:rPr>
              <w:t xml:space="preserve">Totodată, </w:t>
            </w:r>
            <w:r w:rsidRPr="000234FE">
              <w:rPr>
                <w:bCs/>
              </w:rPr>
              <w:t>Comisia Europeană</w:t>
            </w:r>
            <w:r w:rsidRPr="000234FE">
              <w:rPr>
                <w:bCs/>
                <w:color w:val="202124"/>
                <w:lang w:eastAsia="ro-RO"/>
              </w:rPr>
              <w:t xml:space="preserve">  </w:t>
            </w:r>
            <w:r w:rsidR="000724BE" w:rsidRPr="000234FE">
              <w:rPr>
                <w:bCs/>
                <w:color w:val="202124"/>
                <w:lang w:eastAsia="ro-RO"/>
              </w:rPr>
              <w:t xml:space="preserve">a comunicat faptul că informațiile referitoare la rata totală de eroare reziduală (RTER) de 8,63% calculată de Autoritatea de Audit și confirmată de serviciile Comisiei, au fost transmise </w:t>
            </w:r>
            <w:r w:rsidR="000724BE" w:rsidRPr="00D224F3">
              <w:rPr>
                <w:b/>
                <w:color w:val="202124"/>
              </w:rPr>
              <w:t>ordonatorului de credite delegat, care va decide dacă este necesară emiterea unei scrisori de avertizare și să aplice orice corecție financiară necesară (articolele 144 și 145 din același regulament)</w:t>
            </w:r>
            <w:r w:rsidR="000724BE" w:rsidRPr="000234FE">
              <w:rPr>
                <w:bCs/>
                <w:color w:val="202124"/>
              </w:rPr>
              <w:t>.</w:t>
            </w:r>
          </w:p>
          <w:p w14:paraId="0377A5DE" w14:textId="77777777" w:rsidR="000724BE" w:rsidRPr="000234FE" w:rsidRDefault="000724BE" w:rsidP="000724BE">
            <w:pPr>
              <w:shd w:val="clear" w:color="auto" w:fill="FFFFFF"/>
              <w:jc w:val="both"/>
              <w:rPr>
                <w:bCs/>
                <w:color w:val="202124"/>
                <w:lang w:eastAsia="ro-RO"/>
              </w:rPr>
            </w:pPr>
            <w:r w:rsidRPr="000234FE">
              <w:rPr>
                <w:bCs/>
                <w:color w:val="202124"/>
                <w:lang w:eastAsia="ro-RO"/>
              </w:rPr>
              <w:t>Autoritățile programului au posibilitatea de a compensa (parțial sau integral) suma menționată mai sus prin următoarele operațiuni:</w:t>
            </w:r>
          </w:p>
          <w:p w14:paraId="2022FAF6" w14:textId="1E522319" w:rsidR="000724BE" w:rsidRPr="000234FE" w:rsidRDefault="000724BE" w:rsidP="000724BE">
            <w:pPr>
              <w:pStyle w:val="Listparagraf"/>
              <w:numPr>
                <w:ilvl w:val="0"/>
                <w:numId w:val="16"/>
              </w:numPr>
              <w:shd w:val="clear" w:color="auto" w:fill="FFFFFF"/>
              <w:jc w:val="both"/>
              <w:rPr>
                <w:rFonts w:ascii="Times New Roman" w:hAnsi="Times New Roman" w:cs="Times New Roman"/>
                <w:bCs/>
                <w:color w:val="202124"/>
                <w:lang w:eastAsia="ro-RO"/>
              </w:rPr>
            </w:pPr>
            <w:r w:rsidRPr="000234FE">
              <w:rPr>
                <w:rFonts w:ascii="Times New Roman" w:hAnsi="Times New Roman" w:cs="Times New Roman"/>
                <w:bCs/>
                <w:color w:val="202124"/>
                <w:lang w:eastAsia="ro-RO"/>
              </w:rPr>
              <w:t>reclasificarea (în totalitate sau parțială) cheltuielilor deduse din conturile anuale 2021-2022 în temeiul articolului 137 alineatul (2) din Regulamentul (UE) nr. 1303/2013 din deduceri temporare, în deducere definitivă și/sau</w:t>
            </w:r>
          </w:p>
          <w:p w14:paraId="79026384" w14:textId="6A82AD0D" w:rsidR="000724BE" w:rsidRPr="000234FE" w:rsidRDefault="000724BE" w:rsidP="000724BE">
            <w:pPr>
              <w:pStyle w:val="Listparagraf"/>
              <w:numPr>
                <w:ilvl w:val="0"/>
                <w:numId w:val="16"/>
              </w:numPr>
              <w:shd w:val="clear" w:color="auto" w:fill="FFFFFF"/>
              <w:jc w:val="both"/>
              <w:rPr>
                <w:rFonts w:ascii="Times New Roman" w:hAnsi="Times New Roman" w:cs="Times New Roman"/>
                <w:bCs/>
                <w:color w:val="202124"/>
                <w:lang w:eastAsia="ro-RO"/>
              </w:rPr>
            </w:pPr>
            <w:r w:rsidRPr="000234FE">
              <w:rPr>
                <w:rFonts w:ascii="Times New Roman" w:hAnsi="Times New Roman" w:cs="Times New Roman"/>
                <w:bCs/>
                <w:color w:val="202124"/>
                <w:lang w:eastAsia="ro-RO"/>
              </w:rPr>
              <w:t xml:space="preserve">retrageri ale cheltuielilor aferente exercițiului contabil 2020-2021, declarate Comisiei în aplicațiile de plată intermediare depuse după cererea finală de plată pentru exercițiul contabil 2021-2022; </w:t>
            </w:r>
          </w:p>
          <w:p w14:paraId="52DFF95A" w14:textId="73CD9836" w:rsidR="001B5222" w:rsidRPr="000234FE" w:rsidRDefault="001B5222" w:rsidP="001B5222">
            <w:pPr>
              <w:jc w:val="both"/>
              <w:rPr>
                <w:bCs/>
              </w:rPr>
            </w:pPr>
            <w:r w:rsidRPr="000234FE">
              <w:rPr>
                <w:bCs/>
              </w:rPr>
              <w:t>Urmare a documentelor și informațiilor transmise de Autoritatea de Management pentru Programul Operațional Capital Uman prin adresa nr. 135023/10.08.2023, Autoritatea de Audit a recalculat rata totală de eroare reziduală și suma care trebuie dedusă din aplicațiile de plată în vederea reducerii RTER sub pragul de materialitate a erorilor de 2% luând în considerare:</w:t>
            </w:r>
          </w:p>
          <w:p w14:paraId="756DD319" w14:textId="2AC49C8A" w:rsidR="001B5222" w:rsidRPr="000234FE" w:rsidRDefault="001B5222" w:rsidP="001B5222">
            <w:pPr>
              <w:jc w:val="both"/>
              <w:rPr>
                <w:bCs/>
              </w:rPr>
            </w:pPr>
            <w:r w:rsidRPr="000234FE">
              <w:rPr>
                <w:bCs/>
              </w:rPr>
              <w:t xml:space="preserve"> - reîncadrarea ca retragere definitivă a sumei de 702.510,90 euro valoare eligibilă/ 702.450,97 euro contribuție publică, aferentă sumelor deduse temporar din conturile anuale 2021-2022 pentru care au fost </w:t>
            </w:r>
            <w:r w:rsidRPr="000234FE">
              <w:rPr>
                <w:bCs/>
              </w:rPr>
              <w:lastRenderedPageBreak/>
              <w:t>finalizate verificările la nivelul autorității de management și pentru care a fost confirmată neeligibilitatea acestora;</w:t>
            </w:r>
          </w:p>
          <w:p w14:paraId="11486B62" w14:textId="29E06D39" w:rsidR="001B5222" w:rsidRPr="000234FE" w:rsidRDefault="001B5222" w:rsidP="001B5222">
            <w:pPr>
              <w:jc w:val="both"/>
              <w:rPr>
                <w:bCs/>
              </w:rPr>
            </w:pPr>
            <w:r w:rsidRPr="000234FE">
              <w:rPr>
                <w:bCs/>
              </w:rPr>
              <w:t>- retrageri reprezentând debite aferente cheltuielilor declarate în exercițiul contabil 2021-2022, declarate Comisiei în aplicațiile de plată intermediare depuse după cererea finală de plată pentru exercițiul contabil 2021-2022, în cuantum de 1.114.887,45 euro valoare eligibilă/ 1.114.887,45 euro contribuție publică.</w:t>
            </w:r>
          </w:p>
          <w:p w14:paraId="224C4779" w14:textId="5800FAFC" w:rsidR="001B5222" w:rsidRPr="000234FE" w:rsidRDefault="001B5222" w:rsidP="001B5222">
            <w:pPr>
              <w:jc w:val="both"/>
              <w:rPr>
                <w:bCs/>
              </w:rPr>
            </w:pPr>
            <w:r w:rsidRPr="000234FE">
              <w:rPr>
                <w:bCs/>
                <w:color w:val="202124"/>
                <w:lang w:eastAsia="ro-RO"/>
              </w:rPr>
              <w:t xml:space="preserve">Astfel, </w:t>
            </w:r>
            <w:r w:rsidR="000D7DA4" w:rsidRPr="000234FE">
              <w:rPr>
                <w:bCs/>
                <w:color w:val="202124"/>
                <w:lang w:eastAsia="ro-RO"/>
              </w:rPr>
              <w:t xml:space="preserve">prin adresa nr. 220775/22.08.2023, Autoritatea de Audit a comunicat Autorității de Management </w:t>
            </w:r>
            <w:r w:rsidR="000D7DA4" w:rsidRPr="000234FE">
              <w:rPr>
                <w:bCs/>
              </w:rPr>
              <w:t>pentru Programul Operațional Capital Uman</w:t>
            </w:r>
            <w:r w:rsidR="000D7DA4" w:rsidRPr="000234FE">
              <w:rPr>
                <w:bCs/>
                <w:color w:val="202124"/>
                <w:lang w:eastAsia="ro-RO"/>
              </w:rPr>
              <w:t xml:space="preserve"> și Autorității de Certificare </w:t>
            </w:r>
            <w:r w:rsidR="00C4623F" w:rsidRPr="000234FE">
              <w:rPr>
                <w:bCs/>
                <w:color w:val="202124"/>
                <w:lang w:eastAsia="ro-RO"/>
              </w:rPr>
              <w:t xml:space="preserve">faptul că </w:t>
            </w:r>
            <w:r w:rsidRPr="000234FE">
              <w:rPr>
                <w:bCs/>
                <w:color w:val="202124"/>
                <w:lang w:eastAsia="ro-RO"/>
              </w:rPr>
              <w:t xml:space="preserve">rata </w:t>
            </w:r>
            <w:r w:rsidRPr="000234FE">
              <w:rPr>
                <w:bCs/>
              </w:rPr>
              <w:t xml:space="preserve">totală de eroare reziduală pentru exercițiul contabil </w:t>
            </w:r>
            <w:r w:rsidR="00DE4C54" w:rsidRPr="000234FE">
              <w:rPr>
                <w:bCs/>
              </w:rPr>
              <w:t>2021-2022</w:t>
            </w:r>
            <w:r w:rsidRPr="000234FE">
              <w:rPr>
                <w:bCs/>
              </w:rPr>
              <w:t xml:space="preserve"> recalculată este de 8,61%, iar suma ce ar trebui dedusă din următoarele aplicații de plată intermediare este de </w:t>
            </w:r>
            <w:bookmarkStart w:id="0" w:name="_Hlk143669464"/>
            <w:r w:rsidRPr="00D224F3">
              <w:rPr>
                <w:b/>
              </w:rPr>
              <w:t xml:space="preserve">41.046.521,95 </w:t>
            </w:r>
            <w:bookmarkEnd w:id="0"/>
            <w:r w:rsidRPr="00D224F3">
              <w:rPr>
                <w:b/>
              </w:rPr>
              <w:t>euro</w:t>
            </w:r>
            <w:r w:rsidRPr="000234FE">
              <w:rPr>
                <w:bCs/>
              </w:rPr>
              <w:t>.</w:t>
            </w:r>
          </w:p>
          <w:p w14:paraId="1F2C274E" w14:textId="544A0C33" w:rsidR="00E150CD" w:rsidRPr="000234FE" w:rsidRDefault="00E150CD" w:rsidP="0048089C">
            <w:pPr>
              <w:jc w:val="both"/>
              <w:rPr>
                <w:bCs/>
              </w:rPr>
            </w:pPr>
            <w:r w:rsidRPr="000234FE">
              <w:rPr>
                <w:bCs/>
              </w:rPr>
              <w:t xml:space="preserve">Pentru suma de </w:t>
            </w:r>
            <w:bookmarkStart w:id="1" w:name="_Hlk127955409"/>
            <w:r w:rsidR="000D7DA4" w:rsidRPr="00D224F3">
              <w:rPr>
                <w:b/>
              </w:rPr>
              <w:t>41.046.521,9</w:t>
            </w:r>
            <w:bookmarkEnd w:id="1"/>
            <w:r w:rsidR="007D3B2E" w:rsidRPr="00D224F3">
              <w:rPr>
                <w:b/>
              </w:rPr>
              <w:t xml:space="preserve">5 </w:t>
            </w:r>
            <w:r w:rsidRPr="00D224F3">
              <w:rPr>
                <w:b/>
              </w:rPr>
              <w:t>euro</w:t>
            </w:r>
            <w:r w:rsidRPr="000234FE">
              <w:rPr>
                <w:bCs/>
              </w:rPr>
              <w:t>, se va aplica măsura decertificării definitive din cadrul axelor prioritare</w:t>
            </w:r>
            <w:r w:rsidR="000C233D" w:rsidRPr="000234FE">
              <w:rPr>
                <w:bCs/>
              </w:rPr>
              <w:t xml:space="preserve"> 2 regiuni mai puțin dezvoltate</w:t>
            </w:r>
            <w:r w:rsidRPr="000234FE">
              <w:rPr>
                <w:bCs/>
              </w:rPr>
              <w:t xml:space="preserve"> 3 și 4, regiuni mai dezvoltate</w:t>
            </w:r>
            <w:r w:rsidR="000C233D" w:rsidRPr="000234FE">
              <w:rPr>
                <w:bCs/>
              </w:rPr>
              <w:t xml:space="preserve"> și axa prioritară 7 regiuni mai dezvoltate</w:t>
            </w:r>
            <w:r w:rsidRPr="000234FE">
              <w:rPr>
                <w:bCs/>
              </w:rPr>
              <w:t>, după cum urmează:</w:t>
            </w:r>
          </w:p>
          <w:p w14:paraId="7BEC9A0C" w14:textId="459DF9BD" w:rsidR="00E150CD" w:rsidRPr="000234FE" w:rsidRDefault="00E150CD" w:rsidP="0048089C">
            <w:pPr>
              <w:jc w:val="both"/>
              <w:rPr>
                <w:bCs/>
              </w:rPr>
            </w:pPr>
            <w:r w:rsidRPr="000234FE">
              <w:rPr>
                <w:bCs/>
              </w:rPr>
              <w:t xml:space="preserve"> -</w:t>
            </w:r>
            <w:bookmarkStart w:id="2" w:name="_Hlk144367027"/>
            <w:bookmarkStart w:id="3" w:name="_Hlk132869113"/>
            <w:r w:rsidR="001270A2" w:rsidRPr="000234FE">
              <w:rPr>
                <w:bCs/>
              </w:rPr>
              <w:t xml:space="preserve">10.478.648,32 </w:t>
            </w:r>
            <w:bookmarkEnd w:id="2"/>
            <w:r w:rsidRPr="000234FE">
              <w:rPr>
                <w:bCs/>
              </w:rPr>
              <w:t xml:space="preserve">euro valoare eligibilă/ </w:t>
            </w:r>
            <w:r w:rsidR="001270A2" w:rsidRPr="000234FE">
              <w:rPr>
                <w:bCs/>
              </w:rPr>
              <w:t xml:space="preserve">10.478.648,32 </w:t>
            </w:r>
            <w:r w:rsidRPr="000234FE">
              <w:rPr>
                <w:bCs/>
              </w:rPr>
              <w:t>euro contribuție publică/</w:t>
            </w:r>
            <w:r w:rsidR="001270A2" w:rsidRPr="000234FE">
              <w:rPr>
                <w:bCs/>
              </w:rPr>
              <w:t xml:space="preserve"> 8.906.851,02 </w:t>
            </w:r>
            <w:r w:rsidRPr="000234FE">
              <w:rPr>
                <w:bCs/>
              </w:rPr>
              <w:t xml:space="preserve">euro contribuție UE  axa prioritară </w:t>
            </w:r>
            <w:r w:rsidR="000C233D" w:rsidRPr="000234FE">
              <w:rPr>
                <w:bCs/>
              </w:rPr>
              <w:t>2</w:t>
            </w:r>
            <w:bookmarkEnd w:id="3"/>
            <w:r w:rsidRPr="000234FE">
              <w:rPr>
                <w:bCs/>
              </w:rPr>
              <w:t>;</w:t>
            </w:r>
          </w:p>
          <w:p w14:paraId="164D5B7B" w14:textId="7561E89F" w:rsidR="000C233D" w:rsidRPr="000234FE" w:rsidRDefault="000C233D" w:rsidP="0048089C">
            <w:pPr>
              <w:jc w:val="both"/>
              <w:rPr>
                <w:bCs/>
              </w:rPr>
            </w:pPr>
            <w:r w:rsidRPr="000234FE">
              <w:rPr>
                <w:bCs/>
              </w:rPr>
              <w:t xml:space="preserve">- </w:t>
            </w:r>
            <w:bookmarkStart w:id="4" w:name="_Hlk144367049"/>
            <w:bookmarkStart w:id="5" w:name="_Hlk132869126"/>
            <w:r w:rsidR="001270A2" w:rsidRPr="000234FE">
              <w:rPr>
                <w:bCs/>
              </w:rPr>
              <w:t xml:space="preserve">5.974.374,45 </w:t>
            </w:r>
            <w:bookmarkEnd w:id="4"/>
            <w:r w:rsidRPr="000234FE">
              <w:rPr>
                <w:bCs/>
              </w:rPr>
              <w:t xml:space="preserve">euro valoare eligibilă/ </w:t>
            </w:r>
            <w:r w:rsidR="001270A2" w:rsidRPr="000234FE">
              <w:rPr>
                <w:bCs/>
              </w:rPr>
              <w:t xml:space="preserve">5.974.374,45 </w:t>
            </w:r>
            <w:r w:rsidRPr="000234FE">
              <w:rPr>
                <w:bCs/>
              </w:rPr>
              <w:t>euro contribuție publică/</w:t>
            </w:r>
            <w:r w:rsidR="001270A2" w:rsidRPr="000234FE">
              <w:rPr>
                <w:bCs/>
              </w:rPr>
              <w:t xml:space="preserve"> 4.779.499,56 </w:t>
            </w:r>
            <w:r w:rsidRPr="000234FE">
              <w:rPr>
                <w:bCs/>
              </w:rPr>
              <w:t>euro contribuție UE  axa prioritară 3</w:t>
            </w:r>
            <w:bookmarkEnd w:id="5"/>
            <w:r w:rsidRPr="000234FE">
              <w:rPr>
                <w:bCs/>
              </w:rPr>
              <w:t>;</w:t>
            </w:r>
          </w:p>
          <w:p w14:paraId="2339DD08" w14:textId="3A748326" w:rsidR="000C233D" w:rsidRPr="000234FE" w:rsidRDefault="00E150CD" w:rsidP="0048089C">
            <w:pPr>
              <w:jc w:val="both"/>
              <w:rPr>
                <w:bCs/>
              </w:rPr>
            </w:pPr>
            <w:r w:rsidRPr="000234FE">
              <w:rPr>
                <w:bCs/>
              </w:rPr>
              <w:t>-</w:t>
            </w:r>
            <w:bookmarkStart w:id="6" w:name="_Hlk144367181"/>
            <w:bookmarkStart w:id="7" w:name="_Hlk132869136"/>
            <w:r w:rsidR="001270A2" w:rsidRPr="000234FE">
              <w:rPr>
                <w:bCs/>
              </w:rPr>
              <w:t>23.531.223,</w:t>
            </w:r>
            <w:r w:rsidR="00BD537B" w:rsidRPr="000234FE">
              <w:rPr>
                <w:bCs/>
              </w:rPr>
              <w:t>7</w:t>
            </w:r>
            <w:r w:rsidR="003A6253" w:rsidRPr="000234FE">
              <w:rPr>
                <w:bCs/>
              </w:rPr>
              <w:t>5</w:t>
            </w:r>
            <w:r w:rsidR="00FB7E93" w:rsidRPr="000234FE">
              <w:rPr>
                <w:bCs/>
              </w:rPr>
              <w:t xml:space="preserve"> </w:t>
            </w:r>
            <w:bookmarkEnd w:id="6"/>
            <w:r w:rsidRPr="000234FE">
              <w:rPr>
                <w:bCs/>
              </w:rPr>
              <w:t>euro valoare eligibilă/</w:t>
            </w:r>
            <w:r w:rsidR="001270A2" w:rsidRPr="000234FE">
              <w:rPr>
                <w:bCs/>
              </w:rPr>
              <w:t xml:space="preserve"> 23.531.223,</w:t>
            </w:r>
            <w:r w:rsidR="003A6253" w:rsidRPr="000234FE">
              <w:rPr>
                <w:bCs/>
              </w:rPr>
              <w:t xml:space="preserve">75 </w:t>
            </w:r>
            <w:r w:rsidRPr="000234FE">
              <w:rPr>
                <w:bCs/>
              </w:rPr>
              <w:t>euro contribuție publică/</w:t>
            </w:r>
            <w:r w:rsidR="001270A2" w:rsidRPr="000234FE">
              <w:rPr>
                <w:bCs/>
              </w:rPr>
              <w:t>18.824.979,01</w:t>
            </w:r>
            <w:r w:rsidR="00FB7E93" w:rsidRPr="000234FE">
              <w:rPr>
                <w:bCs/>
              </w:rPr>
              <w:t xml:space="preserve"> </w:t>
            </w:r>
            <w:r w:rsidRPr="000234FE">
              <w:rPr>
                <w:bCs/>
              </w:rPr>
              <w:t>euro contribuție UE  axa prioritară 4</w:t>
            </w:r>
            <w:r w:rsidR="000C233D" w:rsidRPr="000234FE">
              <w:rPr>
                <w:bCs/>
              </w:rPr>
              <w:t>;</w:t>
            </w:r>
            <w:bookmarkEnd w:id="7"/>
          </w:p>
          <w:p w14:paraId="3EDEBFD6" w14:textId="35AD820D" w:rsidR="00E150CD" w:rsidRPr="000234FE" w:rsidRDefault="001A459B" w:rsidP="0048089C">
            <w:pPr>
              <w:jc w:val="both"/>
              <w:rPr>
                <w:bCs/>
              </w:rPr>
            </w:pPr>
            <w:r w:rsidRPr="000234FE">
              <w:rPr>
                <w:bCs/>
              </w:rPr>
              <w:t>-</w:t>
            </w:r>
            <w:r w:rsidR="000C233D" w:rsidRPr="000234FE">
              <w:rPr>
                <w:bCs/>
              </w:rPr>
              <w:t xml:space="preserve"> </w:t>
            </w:r>
            <w:bookmarkStart w:id="8" w:name="_Hlk132869144"/>
            <w:r w:rsidR="00FB7E93" w:rsidRPr="000234FE">
              <w:rPr>
                <w:bCs/>
              </w:rPr>
              <w:t xml:space="preserve"> </w:t>
            </w:r>
            <w:r w:rsidR="001270A2" w:rsidRPr="000234FE">
              <w:rPr>
                <w:bCs/>
              </w:rPr>
              <w:t>1.</w:t>
            </w:r>
            <w:r w:rsidR="00FB7E93" w:rsidRPr="000234FE">
              <w:rPr>
                <w:bCs/>
              </w:rPr>
              <w:t>062.275,4</w:t>
            </w:r>
            <w:r w:rsidR="00BD537B" w:rsidRPr="000234FE">
              <w:rPr>
                <w:bCs/>
              </w:rPr>
              <w:t>3</w:t>
            </w:r>
            <w:r w:rsidR="00FB7E93" w:rsidRPr="000234FE">
              <w:rPr>
                <w:bCs/>
              </w:rPr>
              <w:t xml:space="preserve"> </w:t>
            </w:r>
            <w:r w:rsidR="000C233D" w:rsidRPr="000234FE">
              <w:rPr>
                <w:bCs/>
              </w:rPr>
              <w:t xml:space="preserve">euro valoare eligibilă/ </w:t>
            </w:r>
            <w:bookmarkStart w:id="9" w:name="_Hlk144367071"/>
            <w:r w:rsidR="00FB7E93" w:rsidRPr="000234FE">
              <w:rPr>
                <w:bCs/>
              </w:rPr>
              <w:t xml:space="preserve">1.062.275,43 </w:t>
            </w:r>
            <w:bookmarkEnd w:id="9"/>
            <w:r w:rsidR="000C233D" w:rsidRPr="000234FE">
              <w:rPr>
                <w:bCs/>
              </w:rPr>
              <w:t>euro contribuție publică/</w:t>
            </w:r>
            <w:r w:rsidR="00FB7E93" w:rsidRPr="000234FE">
              <w:rPr>
                <w:bCs/>
              </w:rPr>
              <w:t xml:space="preserve"> </w:t>
            </w:r>
            <w:r w:rsidR="001270A2" w:rsidRPr="000234FE">
              <w:rPr>
                <w:bCs/>
              </w:rPr>
              <w:t>849.820,30</w:t>
            </w:r>
            <w:r w:rsidR="00FB7E93" w:rsidRPr="000234FE">
              <w:rPr>
                <w:bCs/>
              </w:rPr>
              <w:t xml:space="preserve"> </w:t>
            </w:r>
            <w:r w:rsidR="000C233D" w:rsidRPr="000234FE">
              <w:rPr>
                <w:bCs/>
              </w:rPr>
              <w:t>euro contribuție UE  axa prioritară 7</w:t>
            </w:r>
            <w:bookmarkEnd w:id="8"/>
            <w:r w:rsidR="000C233D" w:rsidRPr="000234FE">
              <w:rPr>
                <w:bCs/>
              </w:rPr>
              <w:t>.</w:t>
            </w:r>
          </w:p>
          <w:p w14:paraId="027249CA" w14:textId="35D3A53A" w:rsidR="00E150CD" w:rsidRPr="000234FE" w:rsidRDefault="00E150CD" w:rsidP="0048089C">
            <w:pPr>
              <w:jc w:val="both"/>
              <w:rPr>
                <w:bCs/>
              </w:rPr>
            </w:pPr>
            <w:r w:rsidRPr="000234FE">
              <w:rPr>
                <w:bCs/>
              </w:rPr>
              <w:t>Sumele aferente contribuției UE sunt calculate prin aplicarea ratei de cofinanțare aprobate de CE prin Decizia CE C(</w:t>
            </w:r>
            <w:r w:rsidR="005B00B7" w:rsidRPr="000234FE">
              <w:rPr>
                <w:bCs/>
              </w:rPr>
              <w:t>2023</w:t>
            </w:r>
            <w:r w:rsidRPr="000234FE">
              <w:rPr>
                <w:bCs/>
              </w:rPr>
              <w:t>)</w:t>
            </w:r>
            <w:r w:rsidR="005B00B7" w:rsidRPr="000234FE">
              <w:rPr>
                <w:bCs/>
              </w:rPr>
              <w:t>5412</w:t>
            </w:r>
            <w:r w:rsidRPr="000234FE">
              <w:rPr>
                <w:bCs/>
              </w:rPr>
              <w:t>/</w:t>
            </w:r>
            <w:r w:rsidR="005B00B7" w:rsidRPr="000234FE">
              <w:rPr>
                <w:bCs/>
              </w:rPr>
              <w:t>04.08.2023</w:t>
            </w:r>
            <w:r w:rsidRPr="000234FE">
              <w:rPr>
                <w:bCs/>
              </w:rPr>
              <w:t>.</w:t>
            </w:r>
          </w:p>
          <w:p w14:paraId="4C0BD9E8" w14:textId="1E240159" w:rsidR="007A3468" w:rsidRPr="000234FE" w:rsidRDefault="00E150CD" w:rsidP="0048089C">
            <w:pPr>
              <w:jc w:val="both"/>
              <w:rPr>
                <w:bCs/>
              </w:rPr>
            </w:pPr>
            <w:r w:rsidRPr="000234FE">
              <w:rPr>
                <w:bCs/>
              </w:rPr>
              <w:t xml:space="preserve">Decertificarea definitivă a fost stabilită pentru axele prioritare </w:t>
            </w:r>
            <w:r w:rsidR="000C233D" w:rsidRPr="000234FE">
              <w:rPr>
                <w:bCs/>
              </w:rPr>
              <w:t>2 regiuni mai puțin dezvoltate</w:t>
            </w:r>
            <w:r w:rsidR="006803D9" w:rsidRPr="000234FE">
              <w:rPr>
                <w:bCs/>
              </w:rPr>
              <w:t>,</w:t>
            </w:r>
            <w:r w:rsidR="000C233D" w:rsidRPr="000234FE">
              <w:rPr>
                <w:bCs/>
              </w:rPr>
              <w:t xml:space="preserve"> 3 și 4, regiuni mai dezvoltate și axa prioritară 7 regiuni mai dezvoltate</w:t>
            </w:r>
            <w:r w:rsidR="001E38E8" w:rsidRPr="000234FE">
              <w:rPr>
                <w:bCs/>
              </w:rPr>
              <w:t xml:space="preserve"> </w:t>
            </w:r>
            <w:r w:rsidRPr="000234FE">
              <w:rPr>
                <w:bCs/>
              </w:rPr>
              <w:t>la nivelul AM POCU</w:t>
            </w:r>
            <w:r w:rsidR="007A3468" w:rsidRPr="000234FE">
              <w:rPr>
                <w:bCs/>
              </w:rPr>
              <w:t xml:space="preserve"> și Organismelor Intermediare</w:t>
            </w:r>
            <w:r w:rsidRPr="000234FE">
              <w:rPr>
                <w:bCs/>
              </w:rPr>
              <w:t>, ca urmare a analizei efectuate</w:t>
            </w:r>
            <w:r w:rsidR="001E38E8" w:rsidRPr="000234FE">
              <w:rPr>
                <w:bCs/>
              </w:rPr>
              <w:t xml:space="preserve"> în contextul demarării procesului de închidere a programelor operaționale finanțate în perioada 2014-2020</w:t>
            </w:r>
            <w:r w:rsidR="007A3468" w:rsidRPr="000234FE">
              <w:rPr>
                <w:bCs/>
              </w:rPr>
              <w:t>. Analiza a constat în:</w:t>
            </w:r>
          </w:p>
          <w:p w14:paraId="1ED80373" w14:textId="5193C6DE" w:rsidR="007A3468" w:rsidRPr="000234FE" w:rsidRDefault="007A3468" w:rsidP="00430937">
            <w:pPr>
              <w:pStyle w:val="Listparagraf"/>
              <w:numPr>
                <w:ilvl w:val="0"/>
                <w:numId w:val="18"/>
              </w:numPr>
              <w:jc w:val="both"/>
              <w:rPr>
                <w:rFonts w:ascii="Times New Roman" w:eastAsia="Times New Roman" w:hAnsi="Times New Roman" w:cs="Times New Roman"/>
                <w:bCs/>
              </w:rPr>
            </w:pPr>
            <w:r w:rsidRPr="000234FE">
              <w:rPr>
                <w:rFonts w:ascii="Times New Roman" w:eastAsia="Times New Roman" w:hAnsi="Times New Roman" w:cs="Times New Roman"/>
                <w:bCs/>
              </w:rPr>
              <w:t>estimarea gradului de execuție al contractelor de finanțare în derulare, pornind de la nivelul curent de implementare și implicit a cheltuielilor ce urmează a mai fi solicitate la rambursare până la finalizarea acestora, și</w:t>
            </w:r>
          </w:p>
          <w:p w14:paraId="478795FB" w14:textId="77777777" w:rsidR="005F0EF2" w:rsidRPr="000234FE" w:rsidRDefault="007A3468" w:rsidP="007A3468">
            <w:pPr>
              <w:pStyle w:val="Listparagraf"/>
              <w:numPr>
                <w:ilvl w:val="0"/>
                <w:numId w:val="18"/>
              </w:numPr>
              <w:jc w:val="both"/>
              <w:rPr>
                <w:rFonts w:ascii="Times New Roman" w:eastAsia="Times New Roman" w:hAnsi="Times New Roman" w:cs="Times New Roman"/>
                <w:bCs/>
              </w:rPr>
            </w:pPr>
            <w:r w:rsidRPr="000234FE">
              <w:rPr>
                <w:rFonts w:ascii="Times New Roman" w:eastAsia="Times New Roman" w:hAnsi="Times New Roman" w:cs="Times New Roman"/>
                <w:bCs/>
              </w:rPr>
              <w:t xml:space="preserve">compararea rezultatelor obținute cu soldurile disponibile raportate la alocarea financiară din cadrul programului operațional, pe axe prioritare și regiuni de dezvoltare. </w:t>
            </w:r>
          </w:p>
          <w:p w14:paraId="0792E92A" w14:textId="7A0BAAF1" w:rsidR="00E150CD" w:rsidRPr="000234FE" w:rsidRDefault="005F0EF2" w:rsidP="0048089C">
            <w:pPr>
              <w:jc w:val="both"/>
              <w:rPr>
                <w:bCs/>
              </w:rPr>
            </w:pPr>
            <w:r w:rsidRPr="000234FE">
              <w:rPr>
                <w:bCs/>
              </w:rPr>
              <w:t xml:space="preserve">Pentru axele si regiunile de dezvoltare menționate mai sus, a rezultat un potențial de declarare la CE mai mare decât soldurile disponibile din alocare, luând în considerare si ratele de supracontractare. </w:t>
            </w:r>
            <w:r w:rsidR="001F5E09" w:rsidRPr="000234FE">
              <w:rPr>
                <w:bCs/>
              </w:rPr>
              <w:t>P</w:t>
            </w:r>
            <w:r w:rsidR="00E150CD" w:rsidRPr="000234FE">
              <w:rPr>
                <w:bCs/>
              </w:rPr>
              <w:t xml:space="preserve">rin decertificarea propusă a sumei de </w:t>
            </w:r>
            <w:r w:rsidR="000D7DA4" w:rsidRPr="00D224F3">
              <w:rPr>
                <w:b/>
              </w:rPr>
              <w:t>41.046.521,95</w:t>
            </w:r>
            <w:r w:rsidR="007D3B2E" w:rsidRPr="00D224F3">
              <w:rPr>
                <w:b/>
              </w:rPr>
              <w:t xml:space="preserve"> </w:t>
            </w:r>
            <w:r w:rsidR="00E150CD" w:rsidRPr="00D224F3">
              <w:rPr>
                <w:b/>
              </w:rPr>
              <w:t>euro</w:t>
            </w:r>
            <w:r w:rsidR="00E150CD" w:rsidRPr="000234FE">
              <w:rPr>
                <w:bCs/>
              </w:rPr>
              <w:t xml:space="preserve"> se creează premisele declarării la CE, a cheltuielilor</w:t>
            </w:r>
            <w:r w:rsidRPr="000234FE">
              <w:rPr>
                <w:bCs/>
              </w:rPr>
              <w:t xml:space="preserve"> estimat</w:t>
            </w:r>
            <w:r w:rsidR="00E150CD" w:rsidRPr="000234FE">
              <w:rPr>
                <w:bCs/>
              </w:rPr>
              <w:t xml:space="preserve"> </w:t>
            </w:r>
            <w:r w:rsidRPr="000234FE">
              <w:rPr>
                <w:bCs/>
              </w:rPr>
              <w:t xml:space="preserve">a fi </w:t>
            </w:r>
            <w:r w:rsidR="00E150CD" w:rsidRPr="000234FE">
              <w:rPr>
                <w:bCs/>
              </w:rPr>
              <w:t>autorizate de AM</w:t>
            </w:r>
            <w:r w:rsidRPr="000234FE">
              <w:rPr>
                <w:bCs/>
              </w:rPr>
              <w:t xml:space="preserve"> în cadrul contractelor de finanțare în derulare, până la finalizarea acestora, fără depășirea alocărilor și implicit suportarea  acestora de către bugetul de stat.</w:t>
            </w:r>
            <w:r w:rsidR="00F71E9E" w:rsidRPr="000234FE">
              <w:rPr>
                <w:bCs/>
              </w:rPr>
              <w:t xml:space="preserve"> Astfel, </w:t>
            </w:r>
            <w:r w:rsidR="000C3F89" w:rsidRPr="00D224F3">
              <w:rPr>
                <w:b/>
              </w:rPr>
              <w:t>pentru a asigura un grad de absorbție de 100% a alocării UE din cadrul Programului Operațional Capital Uman</w:t>
            </w:r>
            <w:r w:rsidR="000C3F89" w:rsidRPr="000234FE">
              <w:rPr>
                <w:bCs/>
              </w:rPr>
              <w:t xml:space="preserve">, decertificarea sumei de </w:t>
            </w:r>
            <w:r w:rsidR="000D7DA4" w:rsidRPr="00D224F3">
              <w:rPr>
                <w:b/>
              </w:rPr>
              <w:t>41.046.521,95</w:t>
            </w:r>
            <w:r w:rsidR="007D3B2E" w:rsidRPr="00D224F3">
              <w:rPr>
                <w:b/>
              </w:rPr>
              <w:t xml:space="preserve"> </w:t>
            </w:r>
            <w:r w:rsidR="001F5E09" w:rsidRPr="00D224F3">
              <w:rPr>
                <w:b/>
              </w:rPr>
              <w:t>euro</w:t>
            </w:r>
            <w:r w:rsidR="002E0188" w:rsidRPr="000234FE">
              <w:rPr>
                <w:bCs/>
              </w:rPr>
              <w:t xml:space="preserve"> se va compensa </w:t>
            </w:r>
            <w:r w:rsidR="00C47398" w:rsidRPr="000234FE">
              <w:rPr>
                <w:bCs/>
              </w:rPr>
              <w:t>cu declararea către CE atât a cheltuielilor autorizate de AM aferente proiectelor în implementare, cât și a cheltuielilor ce urmează a fi autorizate în cadrul schemei privind sprijinirea refugiaților ucraineni și eventual in cadrul schemei de acordare a ajutoarelor pentru încălzire persoanelor/familiilor vulnerabile</w:t>
            </w:r>
            <w:r w:rsidR="00AF77F9" w:rsidRPr="000234FE">
              <w:rPr>
                <w:bCs/>
              </w:rPr>
              <w:t>.</w:t>
            </w:r>
            <w:r w:rsidR="002E0188" w:rsidRPr="000234FE">
              <w:rPr>
                <w:bCs/>
              </w:rPr>
              <w:t xml:space="preserve">   </w:t>
            </w:r>
          </w:p>
          <w:p w14:paraId="5EAD7C6C" w14:textId="661EAE8A" w:rsidR="00E150CD" w:rsidRPr="000234FE" w:rsidRDefault="00E150CD" w:rsidP="0048089C">
            <w:pPr>
              <w:autoSpaceDE w:val="0"/>
              <w:autoSpaceDN w:val="0"/>
              <w:adjustRightInd w:val="0"/>
              <w:jc w:val="both"/>
              <w:rPr>
                <w:bCs/>
              </w:rPr>
            </w:pPr>
            <w:r w:rsidRPr="000234FE">
              <w:rPr>
                <w:bCs/>
              </w:rPr>
              <w:t xml:space="preserve">Având în vedere </w:t>
            </w:r>
            <w:r w:rsidR="00D334E2" w:rsidRPr="000234FE">
              <w:rPr>
                <w:bCs/>
              </w:rPr>
              <w:t>solicitarea CE din scrisoarea Ares</w:t>
            </w:r>
            <w:r w:rsidR="00D334E2" w:rsidRPr="000234FE" w:rsidDel="00D334E2">
              <w:rPr>
                <w:bCs/>
              </w:rPr>
              <w:t xml:space="preserve"> </w:t>
            </w:r>
            <w:r w:rsidR="00D334E2" w:rsidRPr="000234FE">
              <w:rPr>
                <w:bCs/>
              </w:rPr>
              <w:t xml:space="preserve">(2023) 3066262- 02/05/2023 </w:t>
            </w:r>
            <w:r w:rsidRPr="000234FE">
              <w:rPr>
                <w:bCs/>
              </w:rPr>
              <w:t xml:space="preserve">suma stabilită este certă, nefiind obținută prin aplicarea unui procent și, din acest motiv, </w:t>
            </w:r>
            <w:r w:rsidRPr="000234FE">
              <w:rPr>
                <w:bCs/>
                <w:lang w:eastAsia="ja-JP"/>
              </w:rPr>
              <w:t>nu se impune elaborarea unei metodologii privind modul de calcul al sumei ce urmează a fi decertificată și care să constituie anexă la prezentul proiect de act normativ, conform prevederilor O.U.G nr. 66/2011 privind prevenirea, constatarea şi sancţionarea neregulilor apărute în obţinerea şi utilizarea fondurilor europene şi/sau a fondurilor publice naţionale aferente acestora, cu modificările și completările ulterioare.</w:t>
            </w:r>
          </w:p>
          <w:p w14:paraId="40A01303" w14:textId="7E23BD4B" w:rsidR="006F6204" w:rsidRPr="000234FE" w:rsidRDefault="006F6204" w:rsidP="00F95710">
            <w:pPr>
              <w:autoSpaceDE w:val="0"/>
              <w:autoSpaceDN w:val="0"/>
              <w:adjustRightInd w:val="0"/>
              <w:jc w:val="both"/>
              <w:rPr>
                <w:bCs/>
                <w:lang w:eastAsia="ja-JP"/>
              </w:rPr>
            </w:pPr>
            <w:r w:rsidRPr="000234FE">
              <w:rPr>
                <w:bCs/>
                <w:lang w:eastAsia="ja-JP"/>
              </w:rPr>
              <w:t xml:space="preserve">În conformitate cu prevederile art. 19 alin. (21)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 în elaborarea aplicaţiilor de plată sau a declaraţiei </w:t>
            </w:r>
            <w:r w:rsidRPr="000234FE">
              <w:rPr>
                <w:bCs/>
                <w:lang w:eastAsia="ja-JP"/>
              </w:rPr>
              <w:lastRenderedPageBreak/>
              <w:t>anuale a conturilor autoritatea de certificare/organismul care îndeplineşte funcţia contabilă are obligaţia de a exclude definitiv, la propunerea autorităţii cu competenţe în gestionarea fondurilor europene, suma necesară în vederea reducerii la nivelul de materialitate a ratei de eroare totală reziduală calculată de către Autoritatea de audit, cu luarea în considerare a prevederilor art. 57^1 din același act normativ.</w:t>
            </w:r>
          </w:p>
          <w:p w14:paraId="72BB6FEB" w14:textId="59F30A18" w:rsidR="0016469A" w:rsidRPr="000234FE" w:rsidRDefault="006F6204" w:rsidP="00F95710">
            <w:pPr>
              <w:autoSpaceDE w:val="0"/>
              <w:autoSpaceDN w:val="0"/>
              <w:adjustRightInd w:val="0"/>
              <w:jc w:val="both"/>
              <w:rPr>
                <w:bCs/>
                <w:lang w:eastAsia="ro-RO"/>
              </w:rPr>
            </w:pPr>
            <w:r w:rsidRPr="000234FE">
              <w:rPr>
                <w:bCs/>
                <w:color w:val="202124"/>
              </w:rPr>
              <w:t xml:space="preserve">Neadoptarea acestui act normativ poate conduce la întreruperea termenelor de plată potrivit articolului 83 din Regulamentul (UE) nr. 1303/2013 sau la suspendarea plăților </w:t>
            </w:r>
            <w:r w:rsidR="009033C3" w:rsidRPr="000234FE">
              <w:rPr>
                <w:bCs/>
                <w:color w:val="202124"/>
              </w:rPr>
              <w:t>(</w:t>
            </w:r>
            <w:r w:rsidRPr="000234FE">
              <w:rPr>
                <w:bCs/>
                <w:color w:val="202124"/>
              </w:rPr>
              <w:t>articolul 142 din același regulament</w:t>
            </w:r>
            <w:r w:rsidR="009033C3" w:rsidRPr="000234FE">
              <w:rPr>
                <w:bCs/>
                <w:color w:val="202124"/>
              </w:rPr>
              <w:t>)</w:t>
            </w:r>
            <w:r w:rsidR="00D32983" w:rsidRPr="000234FE">
              <w:rPr>
                <w:bCs/>
                <w:color w:val="202124"/>
              </w:rPr>
              <w:t xml:space="preserve"> și/sau la aplicarea de corecții financiare de către CE</w:t>
            </w:r>
            <w:r w:rsidR="009033C3" w:rsidRPr="000234FE">
              <w:rPr>
                <w:bCs/>
                <w:color w:val="202124"/>
              </w:rPr>
              <w:t>(</w:t>
            </w:r>
            <w:r w:rsidR="00D32983" w:rsidRPr="000234FE">
              <w:rPr>
                <w:bCs/>
                <w:color w:val="202124"/>
              </w:rPr>
              <w:t xml:space="preserve"> articolul 144 și 145 din regulament</w:t>
            </w:r>
            <w:r w:rsidR="009033C3" w:rsidRPr="000234FE">
              <w:rPr>
                <w:bCs/>
                <w:color w:val="202124"/>
              </w:rPr>
              <w:t>ul respectiv)</w:t>
            </w:r>
            <w:r w:rsidRPr="000234FE">
              <w:rPr>
                <w:bCs/>
                <w:color w:val="202124"/>
              </w:rPr>
              <w:t>.</w:t>
            </w:r>
          </w:p>
          <w:p w14:paraId="300A6149" w14:textId="77777777" w:rsidR="008A040A" w:rsidRPr="000234FE" w:rsidRDefault="008A040A" w:rsidP="00F95710">
            <w:pPr>
              <w:autoSpaceDE w:val="0"/>
              <w:autoSpaceDN w:val="0"/>
              <w:adjustRightInd w:val="0"/>
              <w:jc w:val="both"/>
              <w:rPr>
                <w:bCs/>
                <w:lang w:eastAsia="ro-RO"/>
              </w:rPr>
            </w:pPr>
          </w:p>
          <w:p w14:paraId="4238D1EB" w14:textId="1ECCC0BA" w:rsidR="00223491" w:rsidRPr="00D224F3" w:rsidRDefault="00223491" w:rsidP="00F95710">
            <w:pPr>
              <w:autoSpaceDE w:val="0"/>
              <w:autoSpaceDN w:val="0"/>
              <w:adjustRightInd w:val="0"/>
              <w:jc w:val="both"/>
              <w:rPr>
                <w:b/>
                <w:lang w:eastAsia="ro-RO"/>
              </w:rPr>
            </w:pPr>
            <w:r w:rsidRPr="00D224F3">
              <w:rPr>
                <w:b/>
                <w:lang w:eastAsia="ro-RO"/>
              </w:rPr>
              <w:t>2.3 Schimbări preconizate</w:t>
            </w:r>
          </w:p>
          <w:p w14:paraId="394ED305" w14:textId="35B3B478" w:rsidR="00E150CD" w:rsidRPr="000234FE" w:rsidRDefault="00E150CD" w:rsidP="0048089C">
            <w:pPr>
              <w:shd w:val="clear" w:color="auto" w:fill="FFFFFF"/>
              <w:jc w:val="both"/>
              <w:rPr>
                <w:bCs/>
              </w:rPr>
            </w:pPr>
            <w:r w:rsidRPr="000234FE">
              <w:rPr>
                <w:bCs/>
              </w:rPr>
              <w:t xml:space="preserve">În vederea conformării cu </w:t>
            </w:r>
            <w:r w:rsidR="00D334E2" w:rsidRPr="000234FE">
              <w:rPr>
                <w:bCs/>
              </w:rPr>
              <w:t xml:space="preserve">solicitările CE și </w:t>
            </w:r>
            <w:r w:rsidR="00D9468D" w:rsidRPr="000234FE">
              <w:rPr>
                <w:bCs/>
              </w:rPr>
              <w:t xml:space="preserve">prevederile </w:t>
            </w:r>
            <w:r w:rsidR="002A3164" w:rsidRPr="000234FE">
              <w:rPr>
                <w:bCs/>
                <w:lang w:eastAsia="ja-JP"/>
              </w:rPr>
              <w:t>Ordonanței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r w:rsidRPr="000234FE">
              <w:rPr>
                <w:bCs/>
              </w:rPr>
              <w:t xml:space="preserve">, prin prezentul proiect de act normativ se reglementează aplicarea măsurii decertificării definitive din următoarele aplicații de plată a unor cheltuieli aferente proiectelor finanțate prin Programul Operațional Capital Uman și certificate în anul contabil </w:t>
            </w:r>
            <w:r w:rsidR="00D9468D" w:rsidRPr="000234FE">
              <w:rPr>
                <w:bCs/>
              </w:rPr>
              <w:t>2021</w:t>
            </w:r>
            <w:r w:rsidRPr="000234FE">
              <w:rPr>
                <w:bCs/>
              </w:rPr>
              <w:t>-</w:t>
            </w:r>
            <w:r w:rsidR="00D9468D" w:rsidRPr="000234FE">
              <w:rPr>
                <w:bCs/>
              </w:rPr>
              <w:t>2022</w:t>
            </w:r>
            <w:r w:rsidRPr="000234FE">
              <w:rPr>
                <w:bCs/>
              </w:rPr>
              <w:t xml:space="preserve">. </w:t>
            </w:r>
          </w:p>
          <w:p w14:paraId="20023F3C" w14:textId="7168AE10" w:rsidR="00E150CD" w:rsidRPr="000234FE" w:rsidRDefault="00E150CD" w:rsidP="0048089C">
            <w:pPr>
              <w:jc w:val="both"/>
              <w:rPr>
                <w:bCs/>
              </w:rPr>
            </w:pPr>
            <w:r w:rsidRPr="000234FE">
              <w:rPr>
                <w:bCs/>
              </w:rPr>
              <w:t xml:space="preserve">Valoarea totală a sumei propuse pentru decertificare este de </w:t>
            </w:r>
            <w:r w:rsidR="000D7DA4" w:rsidRPr="000234FE">
              <w:rPr>
                <w:bCs/>
              </w:rPr>
              <w:t>41.046.521,95</w:t>
            </w:r>
            <w:r w:rsidR="00411580" w:rsidRPr="000234FE">
              <w:rPr>
                <w:bCs/>
              </w:rPr>
              <w:t xml:space="preserve"> </w:t>
            </w:r>
            <w:r w:rsidRPr="000234FE">
              <w:rPr>
                <w:bCs/>
                <w:color w:val="202124"/>
                <w:lang w:eastAsia="ro-RO"/>
              </w:rPr>
              <w:t>EUR</w:t>
            </w:r>
            <w:r w:rsidRPr="000234FE">
              <w:rPr>
                <w:bCs/>
              </w:rPr>
              <w:t>.</w:t>
            </w:r>
          </w:p>
          <w:p w14:paraId="1140A12A" w14:textId="22DA0330" w:rsidR="00E150CD" w:rsidRPr="000234FE" w:rsidRDefault="00E150CD" w:rsidP="0048089C">
            <w:pPr>
              <w:jc w:val="both"/>
              <w:rPr>
                <w:bCs/>
              </w:rPr>
            </w:pPr>
            <w:r w:rsidRPr="000234FE">
              <w:rPr>
                <w:bCs/>
              </w:rPr>
              <w:t xml:space="preserve">Cheltuielile aferente proiectelor finanțate prin Programul Operațional Capital Uman, propuse a fi decertificate definitiv, reprezintă corecții financiare care au fost aplicate de Autoritatea de Management pentru Programul Operațional Capital Uman, ca urmare a </w:t>
            </w:r>
            <w:r w:rsidR="00D334E2" w:rsidRPr="000234FE">
              <w:rPr>
                <w:bCs/>
              </w:rPr>
              <w:t xml:space="preserve">a scrisorii Comisiei Europene - DG Employment, Social Affairs and Inclusion/ Regional and Urban Policy, nr. Ares (2023) 3066262- 02/05/2023 </w:t>
            </w:r>
            <w:r w:rsidRPr="000234FE">
              <w:rPr>
                <w:bCs/>
              </w:rPr>
              <w:t xml:space="preserve">. Valoarea fondurilor UE aferentă acestor cheltuieli este în sumă </w:t>
            </w:r>
            <w:r w:rsidR="001270A2" w:rsidRPr="000234FE">
              <w:rPr>
                <w:bCs/>
              </w:rPr>
              <w:t>33.361.149,89</w:t>
            </w:r>
            <w:r w:rsidR="001270A2" w:rsidRPr="000234FE">
              <w:rPr>
                <w:bCs/>
                <w:color w:val="202124"/>
                <w:lang w:eastAsia="ro-RO"/>
              </w:rPr>
              <w:t xml:space="preserve"> </w:t>
            </w:r>
            <w:r w:rsidRPr="000234FE">
              <w:rPr>
                <w:bCs/>
                <w:color w:val="202124"/>
                <w:lang w:eastAsia="ro-RO"/>
              </w:rPr>
              <w:t>EUR</w:t>
            </w:r>
            <w:r w:rsidRPr="000234FE">
              <w:rPr>
                <w:bCs/>
              </w:rPr>
              <w:t xml:space="preserve">. </w:t>
            </w:r>
          </w:p>
          <w:p w14:paraId="4AFB77A4" w14:textId="695D361E" w:rsidR="00E150CD" w:rsidRPr="000234FE" w:rsidRDefault="00E150CD" w:rsidP="00F95710">
            <w:pPr>
              <w:autoSpaceDE w:val="0"/>
              <w:autoSpaceDN w:val="0"/>
              <w:adjustRightInd w:val="0"/>
              <w:jc w:val="both"/>
              <w:rPr>
                <w:bCs/>
              </w:rPr>
            </w:pPr>
            <w:r w:rsidRPr="000234FE">
              <w:rPr>
                <w:bCs/>
              </w:rPr>
              <w:t xml:space="preserve">De asemenea, precizăm faptul că </w:t>
            </w:r>
            <w:r w:rsidR="00430937" w:rsidRPr="000234FE">
              <w:rPr>
                <w:bCs/>
              </w:rPr>
              <w:t xml:space="preserve">prin decertificarea definitivă a sumei de </w:t>
            </w:r>
            <w:r w:rsidR="000D7DA4" w:rsidRPr="000234FE">
              <w:rPr>
                <w:bCs/>
              </w:rPr>
              <w:t>41.046.521,95</w:t>
            </w:r>
            <w:r w:rsidR="00430937" w:rsidRPr="000234FE">
              <w:rPr>
                <w:bCs/>
              </w:rPr>
              <w:t xml:space="preserve"> </w:t>
            </w:r>
            <w:r w:rsidR="00430937" w:rsidRPr="000234FE">
              <w:rPr>
                <w:bCs/>
                <w:color w:val="202124"/>
                <w:lang w:eastAsia="ro-RO"/>
              </w:rPr>
              <w:t>EUR</w:t>
            </w:r>
            <w:r w:rsidR="00430937" w:rsidRPr="000234FE">
              <w:rPr>
                <w:bCs/>
              </w:rPr>
              <w:t xml:space="preserve"> se creează premisele declarării la CE, a cheltuielilor estimat a fi autorizate de AM în cadrul contractelor de finanțare în derulare, până la finalizarea acestora, fără depășirea alocărilor și implicit suportarea  acestora de către bugetul de stat.</w:t>
            </w:r>
          </w:p>
          <w:p w14:paraId="64DEB157" w14:textId="77777777" w:rsidR="00223491" w:rsidRPr="00D224F3" w:rsidRDefault="00223491" w:rsidP="00F95710">
            <w:pPr>
              <w:autoSpaceDE w:val="0"/>
              <w:autoSpaceDN w:val="0"/>
              <w:adjustRightInd w:val="0"/>
              <w:jc w:val="both"/>
              <w:rPr>
                <w:b/>
                <w:lang w:eastAsia="en-GB"/>
              </w:rPr>
            </w:pPr>
            <w:r w:rsidRPr="00D224F3">
              <w:rPr>
                <w:b/>
                <w:lang w:eastAsia="en-GB"/>
              </w:rPr>
              <w:t>2.4 Alte informații</w:t>
            </w:r>
            <w:r w:rsidR="0064777F" w:rsidRPr="00D224F3">
              <w:rPr>
                <w:b/>
                <w:lang w:eastAsia="en-GB"/>
              </w:rPr>
              <w:t xml:space="preserve"> </w:t>
            </w:r>
          </w:p>
          <w:p w14:paraId="45862F79" w14:textId="1E858EE7" w:rsidR="00CE66B6" w:rsidRPr="000234FE" w:rsidRDefault="00E150CD" w:rsidP="00761EC5">
            <w:pPr>
              <w:jc w:val="both"/>
              <w:rPr>
                <w:bCs/>
                <w:lang w:eastAsia="en-GB"/>
              </w:rPr>
            </w:pPr>
            <w:r w:rsidRPr="000234FE">
              <w:rPr>
                <w:bCs/>
              </w:rPr>
              <w:t xml:space="preserve">Aprobarea acestui act normativ permite decertificarea definitivă din următoarele aplicații de plată, a unor cheltuieli aferente proiectelor finanțate prin Programul Operațional Capital Uman certificate în anul contabil </w:t>
            </w:r>
            <w:r w:rsidR="00D9468D" w:rsidRPr="000234FE">
              <w:rPr>
                <w:bCs/>
              </w:rPr>
              <w:t>2021</w:t>
            </w:r>
            <w:r w:rsidRPr="000234FE">
              <w:rPr>
                <w:bCs/>
              </w:rPr>
              <w:t>-</w:t>
            </w:r>
            <w:r w:rsidR="00D9468D" w:rsidRPr="000234FE">
              <w:rPr>
                <w:bCs/>
              </w:rPr>
              <w:t>2022</w:t>
            </w:r>
            <w:r w:rsidRPr="000234FE">
              <w:rPr>
                <w:bCs/>
              </w:rPr>
              <w:t>, în conformitate cu solicitările CE privind închiderea acestui an contabil.</w:t>
            </w:r>
          </w:p>
        </w:tc>
      </w:tr>
    </w:tbl>
    <w:p w14:paraId="28BCBE87" w14:textId="77777777" w:rsidR="008A040A" w:rsidRPr="000234FE" w:rsidRDefault="008A040A" w:rsidP="00F95710">
      <w:pPr>
        <w:ind w:firstLine="720"/>
        <w:rPr>
          <w:bCs/>
        </w:rPr>
      </w:pPr>
    </w:p>
    <w:p w14:paraId="4794020D" w14:textId="7993179D" w:rsidR="00223491" w:rsidRPr="00D224F3" w:rsidRDefault="003864F6" w:rsidP="00F95710">
      <w:pPr>
        <w:ind w:firstLine="720"/>
        <w:rPr>
          <w:b/>
        </w:rPr>
      </w:pPr>
      <w:r w:rsidRPr="00D224F3">
        <w:rPr>
          <w:b/>
        </w:rPr>
        <w:t>Secțiunea</w:t>
      </w:r>
      <w:r w:rsidR="00670C79" w:rsidRPr="00D224F3">
        <w:rPr>
          <w:b/>
        </w:rPr>
        <w:t xml:space="preserve"> a 3-a </w:t>
      </w:r>
    </w:p>
    <w:p w14:paraId="4E4A7A8E" w14:textId="485C7CAC" w:rsidR="00670C79" w:rsidRPr="00D224F3" w:rsidRDefault="00670C79" w:rsidP="00F95710">
      <w:pPr>
        <w:ind w:firstLine="720"/>
        <w:rPr>
          <w:b/>
        </w:rPr>
      </w:pPr>
      <w:r w:rsidRPr="00D224F3">
        <w:rPr>
          <w:b/>
        </w:rPr>
        <w:t xml:space="preserve">Impactul socioeconomic </w:t>
      </w:r>
      <w:r w:rsidR="0064777F" w:rsidRPr="00D224F3">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0234FE" w14:paraId="4F7B7B5A" w14:textId="77777777" w:rsidTr="007C07B3">
        <w:tc>
          <w:tcPr>
            <w:tcW w:w="10533" w:type="dxa"/>
          </w:tcPr>
          <w:p w14:paraId="612A275C" w14:textId="1B3AADDB" w:rsidR="00F72189" w:rsidRPr="000234FE" w:rsidRDefault="00F72189" w:rsidP="00F95710">
            <w:pPr>
              <w:jc w:val="both"/>
              <w:rPr>
                <w:bCs/>
              </w:rPr>
            </w:pPr>
            <w:r w:rsidRPr="000234FE">
              <w:rPr>
                <w:bCs/>
              </w:rPr>
              <w:t>3.1 Descrierea generală a beneficiilor și costurilor estimate ca urmare a intrării în vigoare a actului normativ</w:t>
            </w:r>
          </w:p>
          <w:p w14:paraId="0675353F" w14:textId="77777777" w:rsidR="00F72189" w:rsidRPr="000234FE" w:rsidRDefault="00F72189" w:rsidP="00F95710">
            <w:pPr>
              <w:jc w:val="both"/>
              <w:rPr>
                <w:bCs/>
              </w:rPr>
            </w:pPr>
            <w:r w:rsidRPr="000234FE">
              <w:rPr>
                <w:bCs/>
              </w:rPr>
              <w:t>3.2 Impactul social</w:t>
            </w:r>
          </w:p>
          <w:p w14:paraId="06C16A47" w14:textId="77777777" w:rsidR="0016469A" w:rsidRPr="000234FE" w:rsidRDefault="00FB45DC" w:rsidP="00F95710">
            <w:pPr>
              <w:jc w:val="both"/>
              <w:rPr>
                <w:bCs/>
              </w:rPr>
            </w:pPr>
            <w:r w:rsidRPr="000234FE">
              <w:rPr>
                <w:bCs/>
                <w:color w:val="FF0000"/>
                <w:lang w:val="pt-BR"/>
              </w:rPr>
              <w:t xml:space="preserve">    </w:t>
            </w:r>
            <w:r w:rsidR="0016469A" w:rsidRPr="000234FE">
              <w:rPr>
                <w:bCs/>
              </w:rPr>
              <w:t>Proiectul de act normativ nu se referă la acest subiect.</w:t>
            </w:r>
          </w:p>
          <w:p w14:paraId="71A3E7CB" w14:textId="4516EACE" w:rsidR="00F72189" w:rsidRPr="000234FE" w:rsidRDefault="00F72189" w:rsidP="00F95710">
            <w:pPr>
              <w:jc w:val="both"/>
              <w:rPr>
                <w:bCs/>
              </w:rPr>
            </w:pPr>
            <w:r w:rsidRPr="000234FE">
              <w:rPr>
                <w:bCs/>
              </w:rPr>
              <w:t xml:space="preserve">3.3. Impactul asupra drepturilor și libertăților fundamentale ale omului </w:t>
            </w:r>
          </w:p>
          <w:p w14:paraId="3FC002F4" w14:textId="77777777" w:rsidR="0016469A" w:rsidRPr="000234FE" w:rsidRDefault="0016469A" w:rsidP="00F95710">
            <w:pPr>
              <w:jc w:val="both"/>
              <w:rPr>
                <w:bCs/>
              </w:rPr>
            </w:pPr>
            <w:r w:rsidRPr="000234FE">
              <w:rPr>
                <w:bCs/>
              </w:rPr>
              <w:t>Proiectul de act normativ nu se referă la acest subiect.</w:t>
            </w:r>
          </w:p>
          <w:p w14:paraId="139B6ECC" w14:textId="2B21838A" w:rsidR="00FB45DC" w:rsidRPr="000234FE" w:rsidRDefault="00FD3526" w:rsidP="00F95710">
            <w:pPr>
              <w:jc w:val="both"/>
              <w:rPr>
                <w:bCs/>
              </w:rPr>
            </w:pPr>
            <w:r w:rsidRPr="000234FE">
              <w:rPr>
                <w:bCs/>
              </w:rPr>
              <w:t>3.4. Impactul macroeconomic</w:t>
            </w:r>
          </w:p>
          <w:p w14:paraId="164EC38B" w14:textId="4863D9E5" w:rsidR="00F72189" w:rsidRPr="000234FE" w:rsidRDefault="00F72189" w:rsidP="00F95710">
            <w:pPr>
              <w:jc w:val="both"/>
              <w:rPr>
                <w:bCs/>
              </w:rPr>
            </w:pPr>
            <w:r w:rsidRPr="000234FE">
              <w:rPr>
                <w:bCs/>
              </w:rPr>
              <w:t>3.</w:t>
            </w:r>
            <w:r w:rsidR="00FD3526" w:rsidRPr="000234FE">
              <w:rPr>
                <w:bCs/>
              </w:rPr>
              <w:t>4</w:t>
            </w:r>
            <w:r w:rsidRPr="000234FE">
              <w:rPr>
                <w:bCs/>
              </w:rPr>
              <w:t xml:space="preserve">.1 Impactul asupra </w:t>
            </w:r>
            <w:r w:rsidR="00FD3526" w:rsidRPr="000234FE">
              <w:rPr>
                <w:bCs/>
              </w:rPr>
              <w:t xml:space="preserve">economiei și asupra </w:t>
            </w:r>
            <w:r w:rsidRPr="000234FE">
              <w:rPr>
                <w:bCs/>
              </w:rPr>
              <w:t>principalilor indicatori macroeconomici</w:t>
            </w:r>
          </w:p>
          <w:p w14:paraId="5757C3C2" w14:textId="77777777" w:rsidR="0016469A" w:rsidRPr="000234FE" w:rsidRDefault="00FB45DC" w:rsidP="00F95710">
            <w:pPr>
              <w:jc w:val="both"/>
              <w:rPr>
                <w:bCs/>
              </w:rPr>
            </w:pPr>
            <w:r w:rsidRPr="000234FE">
              <w:rPr>
                <w:bCs/>
                <w:color w:val="FF0000"/>
              </w:rPr>
              <w:t xml:space="preserve">    </w:t>
            </w:r>
            <w:r w:rsidR="0016469A" w:rsidRPr="000234FE">
              <w:rPr>
                <w:bCs/>
              </w:rPr>
              <w:t>Proiectul de act normativ nu se referă la acest subiect.</w:t>
            </w:r>
          </w:p>
          <w:p w14:paraId="18C98DD5" w14:textId="64A6354D" w:rsidR="00F72189" w:rsidRPr="000234FE" w:rsidRDefault="00F72189" w:rsidP="00F95710">
            <w:pPr>
              <w:jc w:val="both"/>
              <w:rPr>
                <w:bCs/>
              </w:rPr>
            </w:pPr>
            <w:r w:rsidRPr="000234FE">
              <w:rPr>
                <w:bCs/>
              </w:rPr>
              <w:t>3.</w:t>
            </w:r>
            <w:r w:rsidR="00FD3526" w:rsidRPr="000234FE">
              <w:rPr>
                <w:bCs/>
              </w:rPr>
              <w:t>4</w:t>
            </w:r>
            <w:r w:rsidRPr="000234FE">
              <w:rPr>
                <w:bCs/>
              </w:rPr>
              <w:t>.2 Impactul asupra mediului concurențial si domeniul</w:t>
            </w:r>
            <w:r w:rsidR="00FB45DC" w:rsidRPr="000234FE">
              <w:rPr>
                <w:bCs/>
              </w:rPr>
              <w:t>ui</w:t>
            </w:r>
            <w:r w:rsidRPr="000234FE">
              <w:rPr>
                <w:bCs/>
              </w:rPr>
              <w:t xml:space="preserve"> ajutoarelor de stat</w:t>
            </w:r>
          </w:p>
          <w:p w14:paraId="01A82EB9" w14:textId="4A0AC304" w:rsidR="00031D8D" w:rsidRPr="000234FE" w:rsidRDefault="0016469A" w:rsidP="00F95710">
            <w:pPr>
              <w:jc w:val="both"/>
              <w:rPr>
                <w:bCs/>
                <w:color w:val="FF0000"/>
              </w:rPr>
            </w:pPr>
            <w:r w:rsidRPr="000234FE">
              <w:rPr>
                <w:bCs/>
              </w:rPr>
              <w:t>Proiectul de act normativ nu se referă la acest subiect.</w:t>
            </w:r>
            <w:r w:rsidR="00FB45DC" w:rsidRPr="000234FE">
              <w:rPr>
                <w:bCs/>
                <w:color w:val="FF0000"/>
              </w:rPr>
              <w:t xml:space="preserve">    </w:t>
            </w:r>
          </w:p>
          <w:p w14:paraId="639CC744" w14:textId="77777777" w:rsidR="0016469A" w:rsidRPr="000234FE" w:rsidRDefault="00F72189" w:rsidP="00F95710">
            <w:pPr>
              <w:jc w:val="both"/>
              <w:rPr>
                <w:bCs/>
              </w:rPr>
            </w:pPr>
            <w:r w:rsidRPr="000234FE">
              <w:rPr>
                <w:bCs/>
              </w:rPr>
              <w:t>3.</w:t>
            </w:r>
            <w:r w:rsidR="00FD3526" w:rsidRPr="000234FE">
              <w:rPr>
                <w:bCs/>
              </w:rPr>
              <w:t>5</w:t>
            </w:r>
            <w:r w:rsidRPr="000234FE">
              <w:rPr>
                <w:bCs/>
              </w:rPr>
              <w:t>. Impactul asupra mediului de afaceri</w:t>
            </w:r>
          </w:p>
          <w:p w14:paraId="267BCBD1" w14:textId="5187D900" w:rsidR="00031D8D" w:rsidRPr="000234FE" w:rsidRDefault="0016469A" w:rsidP="00F95710">
            <w:pPr>
              <w:jc w:val="both"/>
              <w:rPr>
                <w:bCs/>
              </w:rPr>
            </w:pPr>
            <w:r w:rsidRPr="000234FE">
              <w:rPr>
                <w:bCs/>
              </w:rPr>
              <w:t>Proiectul de act normativ nu se referă la acest subiect.</w:t>
            </w:r>
            <w:r w:rsidR="00031D8D" w:rsidRPr="000234FE">
              <w:rPr>
                <w:bCs/>
                <w:color w:val="FF0000"/>
              </w:rPr>
              <w:t xml:space="preserve"> </w:t>
            </w:r>
          </w:p>
          <w:p w14:paraId="6BA44179" w14:textId="6BBF570F" w:rsidR="00FD3526" w:rsidRPr="000234FE" w:rsidRDefault="00FD3526" w:rsidP="00F95710">
            <w:pPr>
              <w:jc w:val="both"/>
              <w:rPr>
                <w:bCs/>
              </w:rPr>
            </w:pPr>
            <w:r w:rsidRPr="000234FE">
              <w:rPr>
                <w:bCs/>
              </w:rPr>
              <w:t>3.6 Impactul asupra mediului înconjurător</w:t>
            </w:r>
          </w:p>
          <w:p w14:paraId="0F5C148D" w14:textId="77777777" w:rsidR="0016469A" w:rsidRPr="000234FE" w:rsidRDefault="0016469A" w:rsidP="00F95710">
            <w:pPr>
              <w:jc w:val="both"/>
              <w:rPr>
                <w:bCs/>
              </w:rPr>
            </w:pPr>
            <w:r w:rsidRPr="000234FE">
              <w:rPr>
                <w:bCs/>
              </w:rPr>
              <w:t>Proiectul de act normativ nu se referă la acest subiect.</w:t>
            </w:r>
          </w:p>
          <w:p w14:paraId="55CFDA7E" w14:textId="301E241C" w:rsidR="00FD3526" w:rsidRPr="000234FE" w:rsidRDefault="00FD3526" w:rsidP="00F95710">
            <w:pPr>
              <w:jc w:val="both"/>
              <w:rPr>
                <w:bCs/>
              </w:rPr>
            </w:pPr>
            <w:r w:rsidRPr="000234FE">
              <w:rPr>
                <w:bCs/>
              </w:rPr>
              <w:t>3.7. Evaluarea costurilor și beneficiilor din perspectiva inovării și digitalizării</w:t>
            </w:r>
          </w:p>
          <w:p w14:paraId="72F7923C" w14:textId="77777777" w:rsidR="0016469A" w:rsidRPr="000234FE" w:rsidRDefault="0016469A" w:rsidP="00F95710">
            <w:pPr>
              <w:jc w:val="both"/>
              <w:rPr>
                <w:bCs/>
              </w:rPr>
            </w:pPr>
            <w:r w:rsidRPr="000234FE">
              <w:rPr>
                <w:bCs/>
              </w:rPr>
              <w:t>Proiectul de act normativ nu se referă la acest subiect.</w:t>
            </w:r>
          </w:p>
          <w:p w14:paraId="4AE13964" w14:textId="77777777" w:rsidR="0016469A" w:rsidRPr="000234FE" w:rsidRDefault="00FD3526" w:rsidP="00F95710">
            <w:pPr>
              <w:jc w:val="both"/>
              <w:rPr>
                <w:bCs/>
              </w:rPr>
            </w:pPr>
            <w:r w:rsidRPr="000234FE">
              <w:rPr>
                <w:bCs/>
              </w:rPr>
              <w:t>3.8 Evaluarea costurilor și beneficiilor din perspectiva dezvoltării durabile</w:t>
            </w:r>
          </w:p>
          <w:p w14:paraId="3D56E632" w14:textId="383E58CB" w:rsidR="0016469A" w:rsidRPr="000234FE" w:rsidRDefault="0016469A" w:rsidP="00F95710">
            <w:pPr>
              <w:jc w:val="both"/>
              <w:rPr>
                <w:bCs/>
              </w:rPr>
            </w:pPr>
            <w:r w:rsidRPr="000234FE">
              <w:rPr>
                <w:bCs/>
              </w:rPr>
              <w:t>Proiectul de act normativ nu se referă la acest subiect.</w:t>
            </w:r>
          </w:p>
          <w:p w14:paraId="61F3E140" w14:textId="77777777" w:rsidR="00FD3526" w:rsidRPr="000234FE" w:rsidRDefault="00FD3526" w:rsidP="00F95710">
            <w:pPr>
              <w:jc w:val="both"/>
              <w:rPr>
                <w:bCs/>
              </w:rPr>
            </w:pPr>
            <w:r w:rsidRPr="000234FE">
              <w:rPr>
                <w:bCs/>
              </w:rPr>
              <w:lastRenderedPageBreak/>
              <w:t>3.9. Alte informații</w:t>
            </w:r>
          </w:p>
          <w:p w14:paraId="041FB550" w14:textId="56A1142D" w:rsidR="0016469A" w:rsidRPr="000234FE" w:rsidRDefault="0016469A" w:rsidP="00F95710">
            <w:pPr>
              <w:jc w:val="both"/>
              <w:rPr>
                <w:bCs/>
              </w:rPr>
            </w:pPr>
            <w:r w:rsidRPr="000234FE">
              <w:rPr>
                <w:bCs/>
              </w:rPr>
              <w:t>Nu au fost identificate.</w:t>
            </w:r>
          </w:p>
        </w:tc>
      </w:tr>
    </w:tbl>
    <w:p w14:paraId="70697DE8" w14:textId="77777777" w:rsidR="008A040A" w:rsidRPr="000234FE" w:rsidRDefault="008A040A" w:rsidP="00F95710">
      <w:pPr>
        <w:ind w:firstLine="720"/>
        <w:jc w:val="both"/>
        <w:rPr>
          <w:bCs/>
        </w:rPr>
      </w:pPr>
    </w:p>
    <w:p w14:paraId="20A2BC5C" w14:textId="1A102B3D" w:rsidR="005A13C5" w:rsidRPr="00D224F3" w:rsidRDefault="00670C79" w:rsidP="00F95710">
      <w:pPr>
        <w:ind w:firstLine="720"/>
        <w:jc w:val="both"/>
        <w:rPr>
          <w:b/>
        </w:rPr>
      </w:pPr>
      <w:r w:rsidRPr="00D224F3">
        <w:rPr>
          <w:b/>
        </w:rPr>
        <w:t xml:space="preserve">Secţiunea a 4-a </w:t>
      </w:r>
    </w:p>
    <w:p w14:paraId="34AED0C5" w14:textId="5ABB9584" w:rsidR="00670C79" w:rsidRPr="00D224F3" w:rsidRDefault="00670C79" w:rsidP="0038434F">
      <w:pPr>
        <w:ind w:left="709"/>
        <w:jc w:val="both"/>
        <w:rPr>
          <w:b/>
        </w:rPr>
      </w:pPr>
      <w:r w:rsidRPr="00D224F3">
        <w:rPr>
          <w:b/>
        </w:rPr>
        <w:t xml:space="preserve">Impactul financiar asupra bugetului </w:t>
      </w:r>
      <w:r w:rsidR="0064777F" w:rsidRPr="00D224F3">
        <w:rPr>
          <w:b/>
        </w:rPr>
        <w:t>general</w:t>
      </w:r>
      <w:r w:rsidRPr="00D224F3">
        <w:rPr>
          <w:b/>
        </w:rPr>
        <w:t xml:space="preserve"> consolidat atât pe termen scurt, pentru</w:t>
      </w:r>
      <w:r w:rsidR="00DB71DB" w:rsidRPr="00D224F3">
        <w:rPr>
          <w:b/>
        </w:rPr>
        <w:t xml:space="preserve"> </w:t>
      </w:r>
      <w:r w:rsidRPr="00D224F3">
        <w:rPr>
          <w:b/>
        </w:rPr>
        <w:t>anul curent, cât şi pe termen lung (pe 5 ani)</w:t>
      </w:r>
      <w:r w:rsidR="003034B1" w:rsidRPr="00D224F3">
        <w:rPr>
          <w:b/>
        </w:rPr>
        <w:t>, inclusiv informații cu privire la cheltuieli și venituri</w:t>
      </w:r>
      <w:r w:rsidR="0064777F" w:rsidRPr="00D224F3">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0234FE" w14:paraId="0C843357" w14:textId="77777777" w:rsidTr="0037486B">
        <w:tc>
          <w:tcPr>
            <w:tcW w:w="10533" w:type="dxa"/>
            <w:gridSpan w:val="7"/>
          </w:tcPr>
          <w:p w14:paraId="33061C9B" w14:textId="7824EB12" w:rsidR="009A76F9" w:rsidRPr="000234FE" w:rsidRDefault="009A76F9" w:rsidP="00F95710">
            <w:pPr>
              <w:pStyle w:val="Listparagraf"/>
              <w:numPr>
                <w:ilvl w:val="0"/>
                <w:numId w:val="13"/>
              </w:numPr>
              <w:jc w:val="right"/>
              <w:rPr>
                <w:rFonts w:ascii="Times New Roman" w:hAnsi="Times New Roman" w:cs="Times New Roman"/>
                <w:bCs/>
              </w:rPr>
            </w:pPr>
            <w:r w:rsidRPr="000234FE">
              <w:rPr>
                <w:rFonts w:ascii="Times New Roman" w:hAnsi="Times New Roman" w:cs="Times New Roman"/>
                <w:bCs/>
              </w:rPr>
              <w:t>În mii lei (RON)</w:t>
            </w:r>
          </w:p>
        </w:tc>
      </w:tr>
      <w:tr w:rsidR="00520BE3" w:rsidRPr="000234FE" w14:paraId="57D824B3" w14:textId="77777777" w:rsidTr="005A13C5">
        <w:tc>
          <w:tcPr>
            <w:tcW w:w="2694" w:type="dxa"/>
          </w:tcPr>
          <w:p w14:paraId="318BEE35" w14:textId="77777777" w:rsidR="00670C79" w:rsidRPr="000234FE" w:rsidRDefault="00670C79" w:rsidP="00F95710">
            <w:pPr>
              <w:pStyle w:val="Titlu2"/>
              <w:rPr>
                <w:bCs/>
                <w:sz w:val="24"/>
              </w:rPr>
            </w:pPr>
            <w:r w:rsidRPr="000234FE">
              <w:rPr>
                <w:bCs/>
                <w:sz w:val="24"/>
              </w:rPr>
              <w:t>Indicatori</w:t>
            </w:r>
          </w:p>
        </w:tc>
        <w:tc>
          <w:tcPr>
            <w:tcW w:w="1058" w:type="dxa"/>
          </w:tcPr>
          <w:p w14:paraId="603E3C85" w14:textId="129C77CD" w:rsidR="00670C79" w:rsidRPr="000234FE" w:rsidRDefault="00670C79" w:rsidP="00F95710">
            <w:pPr>
              <w:jc w:val="center"/>
              <w:rPr>
                <w:bCs/>
              </w:rPr>
            </w:pPr>
            <w:r w:rsidRPr="000234FE">
              <w:rPr>
                <w:bCs/>
              </w:rPr>
              <w:t>An</w:t>
            </w:r>
            <w:r w:rsidR="009A76F9" w:rsidRPr="000234FE">
              <w:rPr>
                <w:bCs/>
              </w:rPr>
              <w:t>ul</w:t>
            </w:r>
            <w:r w:rsidRPr="000234FE">
              <w:rPr>
                <w:bCs/>
              </w:rPr>
              <w:t xml:space="preserve"> curent</w:t>
            </w:r>
          </w:p>
        </w:tc>
        <w:tc>
          <w:tcPr>
            <w:tcW w:w="5333" w:type="dxa"/>
            <w:gridSpan w:val="4"/>
          </w:tcPr>
          <w:p w14:paraId="4EA4AF47" w14:textId="77777777" w:rsidR="00670C79" w:rsidRPr="000234FE" w:rsidRDefault="00670C79" w:rsidP="00F95710">
            <w:pPr>
              <w:jc w:val="center"/>
              <w:rPr>
                <w:bCs/>
              </w:rPr>
            </w:pPr>
            <w:r w:rsidRPr="000234FE">
              <w:rPr>
                <w:bCs/>
              </w:rPr>
              <w:t>Următorii 4 ani</w:t>
            </w:r>
          </w:p>
        </w:tc>
        <w:tc>
          <w:tcPr>
            <w:tcW w:w="1448" w:type="dxa"/>
          </w:tcPr>
          <w:p w14:paraId="1EE52564" w14:textId="74A4CFA0" w:rsidR="00670C79" w:rsidRPr="000234FE" w:rsidRDefault="00670C79" w:rsidP="00F95710">
            <w:pPr>
              <w:jc w:val="center"/>
              <w:rPr>
                <w:bCs/>
              </w:rPr>
            </w:pPr>
            <w:r w:rsidRPr="000234FE">
              <w:rPr>
                <w:bCs/>
              </w:rPr>
              <w:t xml:space="preserve">Media </w:t>
            </w:r>
            <w:r w:rsidR="009A76F9" w:rsidRPr="000234FE">
              <w:rPr>
                <w:bCs/>
              </w:rPr>
              <w:t>pe</w:t>
            </w:r>
            <w:r w:rsidRPr="000234FE">
              <w:rPr>
                <w:bCs/>
              </w:rPr>
              <w:t xml:space="preserve"> 5 ani</w:t>
            </w:r>
          </w:p>
        </w:tc>
      </w:tr>
      <w:tr w:rsidR="00520BE3" w:rsidRPr="000234FE" w14:paraId="31AEB740" w14:textId="77777777" w:rsidTr="005A13C5">
        <w:tc>
          <w:tcPr>
            <w:tcW w:w="2694" w:type="dxa"/>
          </w:tcPr>
          <w:p w14:paraId="1A04C9C9" w14:textId="77777777" w:rsidR="00670C79" w:rsidRPr="000234FE" w:rsidRDefault="00670C79" w:rsidP="00F95710">
            <w:pPr>
              <w:jc w:val="center"/>
              <w:rPr>
                <w:bCs/>
              </w:rPr>
            </w:pPr>
            <w:r w:rsidRPr="000234FE">
              <w:rPr>
                <w:bCs/>
              </w:rPr>
              <w:t>1</w:t>
            </w:r>
          </w:p>
        </w:tc>
        <w:tc>
          <w:tcPr>
            <w:tcW w:w="1058" w:type="dxa"/>
            <w:vAlign w:val="center"/>
          </w:tcPr>
          <w:p w14:paraId="44BDE6EE" w14:textId="77777777" w:rsidR="00670C79" w:rsidRPr="000234FE" w:rsidRDefault="00670C79" w:rsidP="00F95710">
            <w:pPr>
              <w:jc w:val="center"/>
              <w:rPr>
                <w:bCs/>
              </w:rPr>
            </w:pPr>
            <w:r w:rsidRPr="000234FE">
              <w:rPr>
                <w:bCs/>
              </w:rPr>
              <w:t>2</w:t>
            </w:r>
          </w:p>
        </w:tc>
        <w:tc>
          <w:tcPr>
            <w:tcW w:w="1366" w:type="dxa"/>
            <w:vAlign w:val="center"/>
          </w:tcPr>
          <w:p w14:paraId="44511A2B" w14:textId="77777777" w:rsidR="00670C79" w:rsidRPr="000234FE" w:rsidRDefault="00670C79" w:rsidP="00F95710">
            <w:pPr>
              <w:jc w:val="center"/>
              <w:rPr>
                <w:bCs/>
              </w:rPr>
            </w:pPr>
            <w:r w:rsidRPr="000234FE">
              <w:rPr>
                <w:bCs/>
              </w:rPr>
              <w:t>3</w:t>
            </w:r>
          </w:p>
        </w:tc>
        <w:tc>
          <w:tcPr>
            <w:tcW w:w="1466" w:type="dxa"/>
            <w:vAlign w:val="center"/>
          </w:tcPr>
          <w:p w14:paraId="7665B810" w14:textId="77777777" w:rsidR="00670C79" w:rsidRPr="000234FE" w:rsidRDefault="00670C79" w:rsidP="00F95710">
            <w:pPr>
              <w:jc w:val="center"/>
              <w:rPr>
                <w:bCs/>
              </w:rPr>
            </w:pPr>
            <w:r w:rsidRPr="000234FE">
              <w:rPr>
                <w:bCs/>
              </w:rPr>
              <w:t>4</w:t>
            </w:r>
          </w:p>
        </w:tc>
        <w:tc>
          <w:tcPr>
            <w:tcW w:w="1366" w:type="dxa"/>
            <w:vAlign w:val="center"/>
          </w:tcPr>
          <w:p w14:paraId="375332DA" w14:textId="77777777" w:rsidR="00670C79" w:rsidRPr="000234FE" w:rsidRDefault="00670C79" w:rsidP="00F95710">
            <w:pPr>
              <w:jc w:val="center"/>
              <w:rPr>
                <w:bCs/>
              </w:rPr>
            </w:pPr>
            <w:r w:rsidRPr="000234FE">
              <w:rPr>
                <w:bCs/>
              </w:rPr>
              <w:t>5</w:t>
            </w:r>
          </w:p>
        </w:tc>
        <w:tc>
          <w:tcPr>
            <w:tcW w:w="1135" w:type="dxa"/>
            <w:vAlign w:val="center"/>
          </w:tcPr>
          <w:p w14:paraId="0DD2A48C" w14:textId="77777777" w:rsidR="00670C79" w:rsidRPr="000234FE" w:rsidRDefault="00670C79" w:rsidP="00F95710">
            <w:pPr>
              <w:jc w:val="center"/>
              <w:rPr>
                <w:bCs/>
              </w:rPr>
            </w:pPr>
            <w:r w:rsidRPr="000234FE">
              <w:rPr>
                <w:bCs/>
              </w:rPr>
              <w:t>6</w:t>
            </w:r>
          </w:p>
        </w:tc>
        <w:tc>
          <w:tcPr>
            <w:tcW w:w="1448" w:type="dxa"/>
            <w:vAlign w:val="center"/>
          </w:tcPr>
          <w:p w14:paraId="64FF500C" w14:textId="77777777" w:rsidR="00670C79" w:rsidRPr="000234FE" w:rsidRDefault="00670C79" w:rsidP="00F95710">
            <w:pPr>
              <w:jc w:val="center"/>
              <w:rPr>
                <w:bCs/>
              </w:rPr>
            </w:pPr>
            <w:r w:rsidRPr="000234FE">
              <w:rPr>
                <w:bCs/>
              </w:rPr>
              <w:t>7</w:t>
            </w:r>
          </w:p>
        </w:tc>
      </w:tr>
      <w:tr w:rsidR="00520BE3" w:rsidRPr="000234FE" w14:paraId="24F374CE" w14:textId="77777777" w:rsidTr="005A13C5">
        <w:tc>
          <w:tcPr>
            <w:tcW w:w="2694" w:type="dxa"/>
          </w:tcPr>
          <w:p w14:paraId="7075F3AB" w14:textId="3D2A3576" w:rsidR="0025682E" w:rsidRPr="000234FE" w:rsidRDefault="00CD28D5" w:rsidP="00F95710">
            <w:pPr>
              <w:jc w:val="both"/>
              <w:rPr>
                <w:bCs/>
              </w:rPr>
            </w:pPr>
            <w:r w:rsidRPr="000234FE">
              <w:rPr>
                <w:bCs/>
              </w:rPr>
              <w:t>4.</w:t>
            </w:r>
            <w:r w:rsidR="00670C79" w:rsidRPr="000234FE">
              <w:rPr>
                <w:bCs/>
              </w:rPr>
              <w:t>1.</w:t>
            </w:r>
            <w:r w:rsidRPr="000234FE">
              <w:rPr>
                <w:bCs/>
              </w:rPr>
              <w:t xml:space="preserve"> </w:t>
            </w:r>
            <w:r w:rsidR="00670C79" w:rsidRPr="000234FE">
              <w:rPr>
                <w:bCs/>
              </w:rPr>
              <w:t>Modificări ale veniturilor bugetare, plus/minus, din care:</w:t>
            </w:r>
          </w:p>
        </w:tc>
        <w:tc>
          <w:tcPr>
            <w:tcW w:w="1058" w:type="dxa"/>
          </w:tcPr>
          <w:p w14:paraId="7811CDB2" w14:textId="77777777" w:rsidR="00670C79" w:rsidRPr="000234FE" w:rsidRDefault="00670C79" w:rsidP="00F95710">
            <w:pPr>
              <w:pStyle w:val="Corptext2"/>
              <w:rPr>
                <w:bCs/>
                <w:sz w:val="24"/>
              </w:rPr>
            </w:pPr>
          </w:p>
        </w:tc>
        <w:tc>
          <w:tcPr>
            <w:tcW w:w="1366" w:type="dxa"/>
          </w:tcPr>
          <w:p w14:paraId="5E0D1921" w14:textId="77777777" w:rsidR="00670C79" w:rsidRPr="000234FE" w:rsidRDefault="00670C79" w:rsidP="00F95710">
            <w:pPr>
              <w:pStyle w:val="Corptext2"/>
              <w:rPr>
                <w:bCs/>
                <w:sz w:val="24"/>
              </w:rPr>
            </w:pPr>
          </w:p>
        </w:tc>
        <w:tc>
          <w:tcPr>
            <w:tcW w:w="1466" w:type="dxa"/>
          </w:tcPr>
          <w:p w14:paraId="3789DD62" w14:textId="77777777" w:rsidR="00670C79" w:rsidRPr="000234FE" w:rsidRDefault="00670C79" w:rsidP="00F95710">
            <w:pPr>
              <w:pStyle w:val="Corptext2"/>
              <w:rPr>
                <w:bCs/>
                <w:sz w:val="24"/>
              </w:rPr>
            </w:pPr>
          </w:p>
        </w:tc>
        <w:tc>
          <w:tcPr>
            <w:tcW w:w="1366" w:type="dxa"/>
          </w:tcPr>
          <w:p w14:paraId="3EFEBCA3" w14:textId="77777777" w:rsidR="00670C79" w:rsidRPr="000234FE" w:rsidRDefault="00670C79" w:rsidP="00F95710">
            <w:pPr>
              <w:pStyle w:val="Corptext2"/>
              <w:rPr>
                <w:bCs/>
                <w:sz w:val="24"/>
              </w:rPr>
            </w:pPr>
          </w:p>
        </w:tc>
        <w:tc>
          <w:tcPr>
            <w:tcW w:w="1135" w:type="dxa"/>
          </w:tcPr>
          <w:p w14:paraId="4D97905B" w14:textId="77777777" w:rsidR="00670C79" w:rsidRPr="000234FE" w:rsidRDefault="00670C79" w:rsidP="00F95710">
            <w:pPr>
              <w:pStyle w:val="Corptext2"/>
              <w:rPr>
                <w:bCs/>
                <w:sz w:val="24"/>
              </w:rPr>
            </w:pPr>
          </w:p>
        </w:tc>
        <w:tc>
          <w:tcPr>
            <w:tcW w:w="1448" w:type="dxa"/>
          </w:tcPr>
          <w:p w14:paraId="4A89D66A" w14:textId="77777777" w:rsidR="00670C79" w:rsidRPr="000234FE" w:rsidRDefault="00670C79" w:rsidP="00F95710">
            <w:pPr>
              <w:pStyle w:val="Corptext2"/>
              <w:rPr>
                <w:bCs/>
                <w:sz w:val="24"/>
              </w:rPr>
            </w:pPr>
          </w:p>
        </w:tc>
      </w:tr>
      <w:tr w:rsidR="0016469A" w:rsidRPr="000234FE" w14:paraId="7E845381" w14:textId="77777777" w:rsidTr="005A13C5">
        <w:tc>
          <w:tcPr>
            <w:tcW w:w="2694" w:type="dxa"/>
          </w:tcPr>
          <w:p w14:paraId="25792053" w14:textId="77777777" w:rsidR="0016469A" w:rsidRPr="000234FE" w:rsidRDefault="0016469A" w:rsidP="00F95710">
            <w:pPr>
              <w:jc w:val="both"/>
              <w:rPr>
                <w:bCs/>
              </w:rPr>
            </w:pPr>
            <w:r w:rsidRPr="000234FE">
              <w:rPr>
                <w:bCs/>
              </w:rPr>
              <w:t>a) bugetul de stat, din acesta:</w:t>
            </w:r>
          </w:p>
          <w:p w14:paraId="32D9DBFB" w14:textId="15A036BA" w:rsidR="0016469A" w:rsidRPr="000234FE" w:rsidRDefault="0016469A" w:rsidP="00F95710">
            <w:pPr>
              <w:jc w:val="both"/>
              <w:rPr>
                <w:bCs/>
              </w:rPr>
            </w:pPr>
            <w:r w:rsidRPr="000234FE">
              <w:rPr>
                <w:bCs/>
              </w:rPr>
              <w:t>(i) impozit pe profit</w:t>
            </w:r>
          </w:p>
          <w:p w14:paraId="67C4E169" w14:textId="0BD99910" w:rsidR="0016469A" w:rsidRPr="000234FE" w:rsidRDefault="0016469A" w:rsidP="00F95710">
            <w:pPr>
              <w:jc w:val="both"/>
              <w:rPr>
                <w:bCs/>
              </w:rPr>
            </w:pPr>
            <w:r w:rsidRPr="000234FE">
              <w:rPr>
                <w:bCs/>
              </w:rPr>
              <w:t>(ii) impozit pe venit</w:t>
            </w:r>
          </w:p>
        </w:tc>
        <w:tc>
          <w:tcPr>
            <w:tcW w:w="1058" w:type="dxa"/>
          </w:tcPr>
          <w:p w14:paraId="07086A97" w14:textId="4885FE7B" w:rsidR="0016469A" w:rsidRPr="000234FE" w:rsidRDefault="0016469A" w:rsidP="00F95710">
            <w:pPr>
              <w:pStyle w:val="Corptext2"/>
              <w:rPr>
                <w:bCs/>
                <w:sz w:val="24"/>
              </w:rPr>
            </w:pPr>
          </w:p>
        </w:tc>
        <w:tc>
          <w:tcPr>
            <w:tcW w:w="1366" w:type="dxa"/>
          </w:tcPr>
          <w:p w14:paraId="68EDD67B" w14:textId="1CF6F0F1" w:rsidR="0016469A" w:rsidRPr="000234FE" w:rsidRDefault="0016469A" w:rsidP="00F95710">
            <w:pPr>
              <w:pStyle w:val="Corptext2"/>
              <w:rPr>
                <w:bCs/>
                <w:sz w:val="24"/>
              </w:rPr>
            </w:pPr>
          </w:p>
        </w:tc>
        <w:tc>
          <w:tcPr>
            <w:tcW w:w="1466" w:type="dxa"/>
          </w:tcPr>
          <w:p w14:paraId="074A0C4C" w14:textId="7D115501" w:rsidR="0016469A" w:rsidRPr="000234FE" w:rsidRDefault="0016469A" w:rsidP="00F95710">
            <w:pPr>
              <w:pStyle w:val="Corptext2"/>
              <w:rPr>
                <w:bCs/>
                <w:sz w:val="24"/>
              </w:rPr>
            </w:pPr>
          </w:p>
        </w:tc>
        <w:tc>
          <w:tcPr>
            <w:tcW w:w="1366" w:type="dxa"/>
          </w:tcPr>
          <w:p w14:paraId="3EC66A65" w14:textId="5BCA5AFC" w:rsidR="0016469A" w:rsidRPr="000234FE" w:rsidRDefault="0016469A" w:rsidP="00F95710">
            <w:pPr>
              <w:pStyle w:val="Corptext2"/>
              <w:rPr>
                <w:bCs/>
                <w:sz w:val="24"/>
              </w:rPr>
            </w:pPr>
          </w:p>
        </w:tc>
        <w:tc>
          <w:tcPr>
            <w:tcW w:w="1135" w:type="dxa"/>
          </w:tcPr>
          <w:p w14:paraId="5CEC73AA" w14:textId="5483B52D" w:rsidR="0016469A" w:rsidRPr="000234FE" w:rsidRDefault="0016469A" w:rsidP="00F95710">
            <w:pPr>
              <w:pStyle w:val="Corptext2"/>
              <w:rPr>
                <w:bCs/>
                <w:sz w:val="24"/>
              </w:rPr>
            </w:pPr>
          </w:p>
        </w:tc>
        <w:tc>
          <w:tcPr>
            <w:tcW w:w="1448" w:type="dxa"/>
          </w:tcPr>
          <w:p w14:paraId="761E2BD4" w14:textId="07795377" w:rsidR="0016469A" w:rsidRPr="000234FE" w:rsidRDefault="0016469A" w:rsidP="00F95710">
            <w:pPr>
              <w:pStyle w:val="Corptext2"/>
              <w:rPr>
                <w:bCs/>
                <w:sz w:val="24"/>
              </w:rPr>
            </w:pPr>
          </w:p>
        </w:tc>
      </w:tr>
      <w:tr w:rsidR="0016469A" w:rsidRPr="000234FE" w14:paraId="6771B99C" w14:textId="77777777" w:rsidTr="005A13C5">
        <w:tc>
          <w:tcPr>
            <w:tcW w:w="2694" w:type="dxa"/>
          </w:tcPr>
          <w:p w14:paraId="6A8A0E7F" w14:textId="577483D3" w:rsidR="0016469A" w:rsidRPr="000234FE" w:rsidRDefault="0016469A" w:rsidP="00F95710">
            <w:pPr>
              <w:jc w:val="both"/>
              <w:rPr>
                <w:bCs/>
              </w:rPr>
            </w:pPr>
            <w:r w:rsidRPr="000234FE">
              <w:rPr>
                <w:bCs/>
              </w:rPr>
              <w:t>b) bugete locale:</w:t>
            </w:r>
          </w:p>
          <w:p w14:paraId="3B0FCECB" w14:textId="7AB36B1B" w:rsidR="0016469A" w:rsidRPr="000234FE" w:rsidRDefault="0016469A" w:rsidP="00F95710">
            <w:pPr>
              <w:jc w:val="both"/>
              <w:rPr>
                <w:bCs/>
              </w:rPr>
            </w:pPr>
            <w:r w:rsidRPr="000234FE">
              <w:rPr>
                <w:bCs/>
              </w:rPr>
              <w:t>(i) impozit pe profit</w:t>
            </w:r>
          </w:p>
        </w:tc>
        <w:tc>
          <w:tcPr>
            <w:tcW w:w="1058" w:type="dxa"/>
          </w:tcPr>
          <w:p w14:paraId="687D0BEC" w14:textId="422D2076" w:rsidR="0016469A" w:rsidRPr="000234FE" w:rsidRDefault="0016469A" w:rsidP="00F95710">
            <w:pPr>
              <w:pStyle w:val="Corptext2"/>
              <w:rPr>
                <w:bCs/>
                <w:sz w:val="24"/>
              </w:rPr>
            </w:pPr>
          </w:p>
        </w:tc>
        <w:tc>
          <w:tcPr>
            <w:tcW w:w="1366" w:type="dxa"/>
          </w:tcPr>
          <w:p w14:paraId="203F5632" w14:textId="465EE968" w:rsidR="0016469A" w:rsidRPr="000234FE" w:rsidRDefault="0016469A" w:rsidP="00F95710">
            <w:pPr>
              <w:pStyle w:val="Corptext2"/>
              <w:rPr>
                <w:bCs/>
                <w:sz w:val="24"/>
              </w:rPr>
            </w:pPr>
          </w:p>
        </w:tc>
        <w:tc>
          <w:tcPr>
            <w:tcW w:w="1466" w:type="dxa"/>
          </w:tcPr>
          <w:p w14:paraId="38DA8080" w14:textId="2B285C05" w:rsidR="0016469A" w:rsidRPr="000234FE" w:rsidRDefault="0016469A" w:rsidP="00F95710">
            <w:pPr>
              <w:pStyle w:val="Corptext2"/>
              <w:rPr>
                <w:bCs/>
                <w:sz w:val="24"/>
              </w:rPr>
            </w:pPr>
          </w:p>
        </w:tc>
        <w:tc>
          <w:tcPr>
            <w:tcW w:w="1366" w:type="dxa"/>
          </w:tcPr>
          <w:p w14:paraId="31807B27" w14:textId="2E3B11D8" w:rsidR="0016469A" w:rsidRPr="000234FE" w:rsidRDefault="0016469A" w:rsidP="00F95710">
            <w:pPr>
              <w:pStyle w:val="Corptext2"/>
              <w:rPr>
                <w:bCs/>
                <w:sz w:val="24"/>
              </w:rPr>
            </w:pPr>
          </w:p>
        </w:tc>
        <w:tc>
          <w:tcPr>
            <w:tcW w:w="1135" w:type="dxa"/>
          </w:tcPr>
          <w:p w14:paraId="29015A0A" w14:textId="77AC7616" w:rsidR="0016469A" w:rsidRPr="000234FE" w:rsidRDefault="0016469A" w:rsidP="00F95710">
            <w:pPr>
              <w:pStyle w:val="Corptext2"/>
              <w:rPr>
                <w:bCs/>
                <w:sz w:val="24"/>
              </w:rPr>
            </w:pPr>
          </w:p>
        </w:tc>
        <w:tc>
          <w:tcPr>
            <w:tcW w:w="1448" w:type="dxa"/>
          </w:tcPr>
          <w:p w14:paraId="33E8076D" w14:textId="57807F9C" w:rsidR="0016469A" w:rsidRPr="000234FE" w:rsidRDefault="0016469A" w:rsidP="00F95710">
            <w:pPr>
              <w:pStyle w:val="Corptext2"/>
              <w:rPr>
                <w:bCs/>
                <w:sz w:val="24"/>
              </w:rPr>
            </w:pPr>
          </w:p>
        </w:tc>
      </w:tr>
      <w:tr w:rsidR="0016469A" w:rsidRPr="000234FE" w14:paraId="3ECF4DE7" w14:textId="77777777" w:rsidTr="005A13C5">
        <w:tc>
          <w:tcPr>
            <w:tcW w:w="2694" w:type="dxa"/>
          </w:tcPr>
          <w:p w14:paraId="454D76E8" w14:textId="401F8F98" w:rsidR="0016469A" w:rsidRPr="000234FE" w:rsidRDefault="0016469A" w:rsidP="00F95710">
            <w:pPr>
              <w:jc w:val="both"/>
              <w:rPr>
                <w:bCs/>
              </w:rPr>
            </w:pPr>
            <w:r w:rsidRPr="000234FE">
              <w:rPr>
                <w:bCs/>
              </w:rPr>
              <w:t>c) bugetul asigurărilor sociale de stat</w:t>
            </w:r>
          </w:p>
          <w:p w14:paraId="551EFD10" w14:textId="6A1DCE03" w:rsidR="0016469A" w:rsidRPr="000234FE" w:rsidRDefault="0016469A" w:rsidP="00F95710">
            <w:pPr>
              <w:jc w:val="both"/>
              <w:rPr>
                <w:bCs/>
              </w:rPr>
            </w:pPr>
            <w:r w:rsidRPr="000234FE">
              <w:rPr>
                <w:bCs/>
              </w:rPr>
              <w:t>(i) contribuţii de asigurări</w:t>
            </w:r>
          </w:p>
        </w:tc>
        <w:tc>
          <w:tcPr>
            <w:tcW w:w="1058" w:type="dxa"/>
          </w:tcPr>
          <w:p w14:paraId="20DF36E4" w14:textId="2464D42E" w:rsidR="0016469A" w:rsidRPr="000234FE" w:rsidRDefault="0016469A" w:rsidP="00F95710">
            <w:pPr>
              <w:pStyle w:val="Corptext2"/>
              <w:rPr>
                <w:bCs/>
                <w:sz w:val="24"/>
              </w:rPr>
            </w:pPr>
          </w:p>
        </w:tc>
        <w:tc>
          <w:tcPr>
            <w:tcW w:w="1366" w:type="dxa"/>
          </w:tcPr>
          <w:p w14:paraId="2E4987C5" w14:textId="4E6C1B6C" w:rsidR="0016469A" w:rsidRPr="000234FE" w:rsidRDefault="0016469A" w:rsidP="00F95710">
            <w:pPr>
              <w:pStyle w:val="Corptext2"/>
              <w:rPr>
                <w:bCs/>
                <w:sz w:val="24"/>
              </w:rPr>
            </w:pPr>
          </w:p>
        </w:tc>
        <w:tc>
          <w:tcPr>
            <w:tcW w:w="1466" w:type="dxa"/>
          </w:tcPr>
          <w:p w14:paraId="55EA5A38" w14:textId="2D1309CF" w:rsidR="0016469A" w:rsidRPr="000234FE" w:rsidRDefault="0016469A" w:rsidP="00F95710">
            <w:pPr>
              <w:pStyle w:val="Corptext2"/>
              <w:rPr>
                <w:bCs/>
                <w:sz w:val="24"/>
              </w:rPr>
            </w:pPr>
          </w:p>
        </w:tc>
        <w:tc>
          <w:tcPr>
            <w:tcW w:w="1366" w:type="dxa"/>
          </w:tcPr>
          <w:p w14:paraId="1A940564" w14:textId="55515ABE" w:rsidR="0016469A" w:rsidRPr="000234FE" w:rsidRDefault="0016469A" w:rsidP="00F95710">
            <w:pPr>
              <w:pStyle w:val="Corptext2"/>
              <w:rPr>
                <w:bCs/>
                <w:sz w:val="24"/>
              </w:rPr>
            </w:pPr>
          </w:p>
        </w:tc>
        <w:tc>
          <w:tcPr>
            <w:tcW w:w="1135" w:type="dxa"/>
          </w:tcPr>
          <w:p w14:paraId="3B9F8826" w14:textId="20897B71" w:rsidR="0016469A" w:rsidRPr="000234FE" w:rsidRDefault="0016469A" w:rsidP="00F95710">
            <w:pPr>
              <w:pStyle w:val="Corptext2"/>
              <w:rPr>
                <w:bCs/>
                <w:sz w:val="24"/>
              </w:rPr>
            </w:pPr>
          </w:p>
        </w:tc>
        <w:tc>
          <w:tcPr>
            <w:tcW w:w="1448" w:type="dxa"/>
          </w:tcPr>
          <w:p w14:paraId="7236E3D5" w14:textId="58431500" w:rsidR="0016469A" w:rsidRPr="000234FE" w:rsidRDefault="0016469A" w:rsidP="00F95710">
            <w:pPr>
              <w:pStyle w:val="Corptext2"/>
              <w:rPr>
                <w:bCs/>
                <w:sz w:val="24"/>
              </w:rPr>
            </w:pPr>
          </w:p>
        </w:tc>
      </w:tr>
      <w:tr w:rsidR="0016469A" w:rsidRPr="000234FE" w14:paraId="3B61ACE7" w14:textId="77777777" w:rsidTr="005A13C5">
        <w:tc>
          <w:tcPr>
            <w:tcW w:w="2694" w:type="dxa"/>
          </w:tcPr>
          <w:p w14:paraId="62FD1E56" w14:textId="77777777" w:rsidR="0016469A" w:rsidRPr="000234FE" w:rsidRDefault="0016469A" w:rsidP="00F95710">
            <w:pPr>
              <w:jc w:val="both"/>
              <w:rPr>
                <w:bCs/>
              </w:rPr>
            </w:pPr>
            <w:r w:rsidRPr="000234FE">
              <w:rPr>
                <w:bCs/>
              </w:rPr>
              <w:t>d) alte tipuri de venituri</w:t>
            </w:r>
          </w:p>
          <w:p w14:paraId="5EB8BD87" w14:textId="4527B335" w:rsidR="0016469A" w:rsidRPr="000234FE" w:rsidRDefault="0016469A" w:rsidP="00F95710">
            <w:pPr>
              <w:jc w:val="both"/>
              <w:rPr>
                <w:bCs/>
              </w:rPr>
            </w:pPr>
            <w:r w:rsidRPr="000234FE">
              <w:rPr>
                <w:bCs/>
              </w:rPr>
              <w:t xml:space="preserve">(Se va menționa natura acestora.) </w:t>
            </w:r>
          </w:p>
        </w:tc>
        <w:tc>
          <w:tcPr>
            <w:tcW w:w="1058" w:type="dxa"/>
          </w:tcPr>
          <w:p w14:paraId="704BCA51" w14:textId="0EE38A13" w:rsidR="0016469A" w:rsidRPr="000234FE" w:rsidRDefault="0016469A" w:rsidP="00F95710">
            <w:pPr>
              <w:pStyle w:val="Corptext2"/>
              <w:rPr>
                <w:bCs/>
                <w:sz w:val="24"/>
              </w:rPr>
            </w:pPr>
          </w:p>
        </w:tc>
        <w:tc>
          <w:tcPr>
            <w:tcW w:w="1366" w:type="dxa"/>
          </w:tcPr>
          <w:p w14:paraId="269D834F" w14:textId="188A5B76" w:rsidR="0016469A" w:rsidRPr="000234FE" w:rsidRDefault="0016469A" w:rsidP="00F95710">
            <w:pPr>
              <w:pStyle w:val="Corptext2"/>
              <w:rPr>
                <w:bCs/>
                <w:sz w:val="24"/>
              </w:rPr>
            </w:pPr>
          </w:p>
        </w:tc>
        <w:tc>
          <w:tcPr>
            <w:tcW w:w="1466" w:type="dxa"/>
          </w:tcPr>
          <w:p w14:paraId="03C3272C" w14:textId="64CC9C05" w:rsidR="0016469A" w:rsidRPr="000234FE" w:rsidRDefault="0016469A" w:rsidP="00F95710">
            <w:pPr>
              <w:pStyle w:val="Corptext2"/>
              <w:rPr>
                <w:bCs/>
                <w:sz w:val="24"/>
              </w:rPr>
            </w:pPr>
          </w:p>
        </w:tc>
        <w:tc>
          <w:tcPr>
            <w:tcW w:w="1366" w:type="dxa"/>
          </w:tcPr>
          <w:p w14:paraId="70C282AC" w14:textId="251D016E" w:rsidR="0016469A" w:rsidRPr="000234FE" w:rsidRDefault="0016469A" w:rsidP="00F95710">
            <w:pPr>
              <w:pStyle w:val="Corptext2"/>
              <w:rPr>
                <w:bCs/>
                <w:sz w:val="24"/>
              </w:rPr>
            </w:pPr>
          </w:p>
        </w:tc>
        <w:tc>
          <w:tcPr>
            <w:tcW w:w="1135" w:type="dxa"/>
          </w:tcPr>
          <w:p w14:paraId="711BE975" w14:textId="0B67B87B" w:rsidR="0016469A" w:rsidRPr="000234FE" w:rsidRDefault="0016469A" w:rsidP="00F95710">
            <w:pPr>
              <w:pStyle w:val="Corptext2"/>
              <w:rPr>
                <w:bCs/>
                <w:sz w:val="24"/>
              </w:rPr>
            </w:pPr>
          </w:p>
        </w:tc>
        <w:tc>
          <w:tcPr>
            <w:tcW w:w="1448" w:type="dxa"/>
          </w:tcPr>
          <w:p w14:paraId="56D819C6" w14:textId="4B2CA94C" w:rsidR="0016469A" w:rsidRPr="000234FE" w:rsidRDefault="0016469A" w:rsidP="00F95710">
            <w:pPr>
              <w:pStyle w:val="Corptext2"/>
              <w:rPr>
                <w:bCs/>
                <w:sz w:val="24"/>
              </w:rPr>
            </w:pPr>
          </w:p>
        </w:tc>
      </w:tr>
      <w:tr w:rsidR="00520BE3" w:rsidRPr="000234FE" w14:paraId="126F1061" w14:textId="77777777" w:rsidTr="005A13C5">
        <w:tc>
          <w:tcPr>
            <w:tcW w:w="2694" w:type="dxa"/>
          </w:tcPr>
          <w:p w14:paraId="1415B230" w14:textId="72A3E85F" w:rsidR="0025682E" w:rsidRPr="000234FE" w:rsidRDefault="00CD28D5" w:rsidP="00F95710">
            <w:pPr>
              <w:jc w:val="both"/>
              <w:rPr>
                <w:bCs/>
              </w:rPr>
            </w:pPr>
            <w:r w:rsidRPr="000234FE">
              <w:rPr>
                <w:bCs/>
              </w:rPr>
              <w:t>4.</w:t>
            </w:r>
            <w:r w:rsidR="00ED5D29" w:rsidRPr="000234FE">
              <w:rPr>
                <w:bCs/>
              </w:rPr>
              <w:t>2.</w:t>
            </w:r>
            <w:r w:rsidRPr="000234FE">
              <w:rPr>
                <w:bCs/>
              </w:rPr>
              <w:t xml:space="preserve"> </w:t>
            </w:r>
            <w:r w:rsidR="00ED5D29" w:rsidRPr="000234FE">
              <w:rPr>
                <w:bCs/>
              </w:rPr>
              <w:t>Modificări ale cheltuielilor bugetare</w:t>
            </w:r>
            <w:r w:rsidR="00A82648" w:rsidRPr="000234FE">
              <w:rPr>
                <w:bCs/>
              </w:rPr>
              <w:t>, plus/minus,</w:t>
            </w:r>
            <w:r w:rsidR="00ED5D29" w:rsidRPr="000234FE">
              <w:rPr>
                <w:bCs/>
              </w:rPr>
              <w:t xml:space="preserve"> din care:</w:t>
            </w:r>
          </w:p>
        </w:tc>
        <w:tc>
          <w:tcPr>
            <w:tcW w:w="1058" w:type="dxa"/>
          </w:tcPr>
          <w:p w14:paraId="7BB1C451" w14:textId="3A3864A6" w:rsidR="00E62BA0" w:rsidRPr="000234FE" w:rsidRDefault="00E62BA0" w:rsidP="00F95710">
            <w:pPr>
              <w:jc w:val="center"/>
              <w:rPr>
                <w:bCs/>
              </w:rPr>
            </w:pPr>
          </w:p>
        </w:tc>
        <w:tc>
          <w:tcPr>
            <w:tcW w:w="1366" w:type="dxa"/>
          </w:tcPr>
          <w:p w14:paraId="44C5A3FF" w14:textId="75FE5CBB" w:rsidR="00E62BA0" w:rsidRPr="000234FE" w:rsidRDefault="00E62BA0" w:rsidP="00F95710">
            <w:pPr>
              <w:jc w:val="center"/>
              <w:rPr>
                <w:bCs/>
              </w:rPr>
            </w:pPr>
          </w:p>
        </w:tc>
        <w:tc>
          <w:tcPr>
            <w:tcW w:w="1466" w:type="dxa"/>
          </w:tcPr>
          <w:p w14:paraId="1702DFD2" w14:textId="6D9B32F2" w:rsidR="00E62BA0" w:rsidRPr="000234FE" w:rsidRDefault="00E62BA0" w:rsidP="00F95710">
            <w:pPr>
              <w:jc w:val="center"/>
              <w:rPr>
                <w:bCs/>
              </w:rPr>
            </w:pPr>
          </w:p>
        </w:tc>
        <w:tc>
          <w:tcPr>
            <w:tcW w:w="1366" w:type="dxa"/>
          </w:tcPr>
          <w:p w14:paraId="1D7B38D6" w14:textId="659DB0F9" w:rsidR="00E62BA0" w:rsidRPr="000234FE" w:rsidRDefault="00E62BA0" w:rsidP="00F95710">
            <w:pPr>
              <w:jc w:val="center"/>
              <w:rPr>
                <w:bCs/>
              </w:rPr>
            </w:pPr>
          </w:p>
        </w:tc>
        <w:tc>
          <w:tcPr>
            <w:tcW w:w="1135" w:type="dxa"/>
          </w:tcPr>
          <w:p w14:paraId="09F7CD9E" w14:textId="2AFA766B" w:rsidR="00E62BA0" w:rsidRPr="000234FE" w:rsidRDefault="00E62BA0" w:rsidP="00F95710">
            <w:pPr>
              <w:jc w:val="center"/>
              <w:rPr>
                <w:bCs/>
              </w:rPr>
            </w:pPr>
          </w:p>
        </w:tc>
        <w:tc>
          <w:tcPr>
            <w:tcW w:w="1448" w:type="dxa"/>
          </w:tcPr>
          <w:p w14:paraId="16493B27" w14:textId="191A8F5C" w:rsidR="00E62BA0" w:rsidRPr="000234FE" w:rsidRDefault="00E62BA0" w:rsidP="00F95710">
            <w:pPr>
              <w:jc w:val="center"/>
              <w:rPr>
                <w:bCs/>
              </w:rPr>
            </w:pPr>
          </w:p>
        </w:tc>
      </w:tr>
      <w:tr w:rsidR="0016469A" w:rsidRPr="000234FE" w14:paraId="408E6817" w14:textId="77777777" w:rsidTr="005A13C5">
        <w:tc>
          <w:tcPr>
            <w:tcW w:w="2694" w:type="dxa"/>
          </w:tcPr>
          <w:p w14:paraId="2D265B20" w14:textId="19563007" w:rsidR="0016469A" w:rsidRPr="000234FE" w:rsidRDefault="0016469A" w:rsidP="00F95710">
            <w:pPr>
              <w:jc w:val="both"/>
              <w:rPr>
                <w:bCs/>
              </w:rPr>
            </w:pPr>
            <w:r w:rsidRPr="000234FE">
              <w:rPr>
                <w:bCs/>
              </w:rPr>
              <w:t>a) buget de stat, din acesta:</w:t>
            </w:r>
          </w:p>
          <w:p w14:paraId="3382ADB9" w14:textId="31517959" w:rsidR="0016469A" w:rsidRPr="000234FE" w:rsidRDefault="0016469A" w:rsidP="00F95710">
            <w:pPr>
              <w:jc w:val="both"/>
              <w:rPr>
                <w:bCs/>
              </w:rPr>
            </w:pPr>
            <w:r w:rsidRPr="000234FE">
              <w:rPr>
                <w:bCs/>
              </w:rPr>
              <w:t>(i) cheltuieli de personal</w:t>
            </w:r>
          </w:p>
          <w:p w14:paraId="2AF2C20C" w14:textId="24F90ED4" w:rsidR="0016469A" w:rsidRPr="000234FE" w:rsidRDefault="0016469A" w:rsidP="00F95710">
            <w:pPr>
              <w:jc w:val="both"/>
              <w:rPr>
                <w:bCs/>
              </w:rPr>
            </w:pPr>
            <w:r w:rsidRPr="000234FE">
              <w:rPr>
                <w:bCs/>
              </w:rPr>
              <w:t>(ii) bunuri şi servicii</w:t>
            </w:r>
          </w:p>
        </w:tc>
        <w:tc>
          <w:tcPr>
            <w:tcW w:w="1058" w:type="dxa"/>
          </w:tcPr>
          <w:p w14:paraId="3E0B1602" w14:textId="17984CD0" w:rsidR="0016469A" w:rsidRPr="000234FE" w:rsidRDefault="0016469A" w:rsidP="00F95710">
            <w:pPr>
              <w:jc w:val="center"/>
              <w:rPr>
                <w:bCs/>
              </w:rPr>
            </w:pPr>
          </w:p>
        </w:tc>
        <w:tc>
          <w:tcPr>
            <w:tcW w:w="1366" w:type="dxa"/>
          </w:tcPr>
          <w:p w14:paraId="4A5827CA" w14:textId="62CAC299" w:rsidR="0016469A" w:rsidRPr="000234FE" w:rsidRDefault="0016469A" w:rsidP="00F95710">
            <w:pPr>
              <w:jc w:val="center"/>
              <w:rPr>
                <w:bCs/>
              </w:rPr>
            </w:pPr>
          </w:p>
        </w:tc>
        <w:tc>
          <w:tcPr>
            <w:tcW w:w="1466" w:type="dxa"/>
          </w:tcPr>
          <w:p w14:paraId="32FB3ACA" w14:textId="6CF3DF4F" w:rsidR="0016469A" w:rsidRPr="000234FE" w:rsidRDefault="0016469A" w:rsidP="00F95710">
            <w:pPr>
              <w:jc w:val="center"/>
              <w:rPr>
                <w:bCs/>
              </w:rPr>
            </w:pPr>
          </w:p>
        </w:tc>
        <w:tc>
          <w:tcPr>
            <w:tcW w:w="1366" w:type="dxa"/>
          </w:tcPr>
          <w:p w14:paraId="6B0B1905" w14:textId="1D12953C" w:rsidR="0016469A" w:rsidRPr="000234FE" w:rsidRDefault="0016469A" w:rsidP="00F95710">
            <w:pPr>
              <w:jc w:val="center"/>
              <w:rPr>
                <w:bCs/>
              </w:rPr>
            </w:pPr>
          </w:p>
        </w:tc>
        <w:tc>
          <w:tcPr>
            <w:tcW w:w="1135" w:type="dxa"/>
          </w:tcPr>
          <w:p w14:paraId="23CBB327" w14:textId="608302E2" w:rsidR="0016469A" w:rsidRPr="000234FE" w:rsidRDefault="0016469A" w:rsidP="00F95710">
            <w:pPr>
              <w:jc w:val="center"/>
              <w:rPr>
                <w:bCs/>
              </w:rPr>
            </w:pPr>
          </w:p>
        </w:tc>
        <w:tc>
          <w:tcPr>
            <w:tcW w:w="1448" w:type="dxa"/>
          </w:tcPr>
          <w:p w14:paraId="58A4AD04" w14:textId="4A34A3F6" w:rsidR="0016469A" w:rsidRPr="000234FE" w:rsidRDefault="0016469A" w:rsidP="00F95710">
            <w:pPr>
              <w:jc w:val="center"/>
              <w:rPr>
                <w:bCs/>
              </w:rPr>
            </w:pPr>
          </w:p>
        </w:tc>
      </w:tr>
      <w:tr w:rsidR="0016469A" w:rsidRPr="000234FE" w14:paraId="247EA305" w14:textId="77777777" w:rsidTr="005A13C5">
        <w:tc>
          <w:tcPr>
            <w:tcW w:w="2694" w:type="dxa"/>
          </w:tcPr>
          <w:p w14:paraId="1413F8FD" w14:textId="15D4A2BF" w:rsidR="0016469A" w:rsidRPr="000234FE" w:rsidRDefault="0016469A" w:rsidP="00F95710">
            <w:pPr>
              <w:jc w:val="both"/>
              <w:rPr>
                <w:bCs/>
              </w:rPr>
            </w:pPr>
            <w:r w:rsidRPr="000234FE">
              <w:rPr>
                <w:bCs/>
              </w:rPr>
              <w:t>b) bugete locale:</w:t>
            </w:r>
          </w:p>
          <w:p w14:paraId="5D43B430" w14:textId="0375DEBE" w:rsidR="0016469A" w:rsidRPr="000234FE" w:rsidRDefault="0016469A" w:rsidP="00F95710">
            <w:pPr>
              <w:jc w:val="both"/>
              <w:rPr>
                <w:bCs/>
              </w:rPr>
            </w:pPr>
            <w:r w:rsidRPr="000234FE">
              <w:rPr>
                <w:bCs/>
              </w:rPr>
              <w:t>(i) cheltuieli de personal</w:t>
            </w:r>
          </w:p>
          <w:p w14:paraId="5FAAC7DC" w14:textId="3646E615" w:rsidR="0016469A" w:rsidRPr="000234FE" w:rsidRDefault="0016469A" w:rsidP="00F95710">
            <w:pPr>
              <w:jc w:val="both"/>
              <w:rPr>
                <w:bCs/>
              </w:rPr>
            </w:pPr>
            <w:r w:rsidRPr="000234FE">
              <w:rPr>
                <w:bCs/>
              </w:rPr>
              <w:t>(ii) bunuri şi servicii</w:t>
            </w:r>
          </w:p>
        </w:tc>
        <w:tc>
          <w:tcPr>
            <w:tcW w:w="1058" w:type="dxa"/>
          </w:tcPr>
          <w:p w14:paraId="35C2339D" w14:textId="50474345" w:rsidR="0016469A" w:rsidRPr="000234FE" w:rsidRDefault="0016469A" w:rsidP="00F95710">
            <w:pPr>
              <w:jc w:val="center"/>
              <w:rPr>
                <w:bCs/>
              </w:rPr>
            </w:pPr>
          </w:p>
        </w:tc>
        <w:tc>
          <w:tcPr>
            <w:tcW w:w="1366" w:type="dxa"/>
          </w:tcPr>
          <w:p w14:paraId="7642EF10" w14:textId="657B8FC4" w:rsidR="0016469A" w:rsidRPr="000234FE" w:rsidRDefault="0016469A" w:rsidP="00F95710">
            <w:pPr>
              <w:jc w:val="center"/>
              <w:rPr>
                <w:bCs/>
              </w:rPr>
            </w:pPr>
          </w:p>
        </w:tc>
        <w:tc>
          <w:tcPr>
            <w:tcW w:w="1466" w:type="dxa"/>
          </w:tcPr>
          <w:p w14:paraId="00DA41A3" w14:textId="18F40BF6" w:rsidR="0016469A" w:rsidRPr="000234FE" w:rsidRDefault="0016469A" w:rsidP="00F95710">
            <w:pPr>
              <w:jc w:val="center"/>
              <w:rPr>
                <w:bCs/>
              </w:rPr>
            </w:pPr>
          </w:p>
        </w:tc>
        <w:tc>
          <w:tcPr>
            <w:tcW w:w="1366" w:type="dxa"/>
          </w:tcPr>
          <w:p w14:paraId="5014B167" w14:textId="30968188" w:rsidR="0016469A" w:rsidRPr="000234FE" w:rsidRDefault="0016469A" w:rsidP="00F95710">
            <w:pPr>
              <w:jc w:val="center"/>
              <w:rPr>
                <w:bCs/>
              </w:rPr>
            </w:pPr>
          </w:p>
        </w:tc>
        <w:tc>
          <w:tcPr>
            <w:tcW w:w="1135" w:type="dxa"/>
          </w:tcPr>
          <w:p w14:paraId="44E6962F" w14:textId="2A0F860E" w:rsidR="0016469A" w:rsidRPr="000234FE" w:rsidRDefault="0016469A" w:rsidP="00F95710">
            <w:pPr>
              <w:jc w:val="center"/>
              <w:rPr>
                <w:bCs/>
              </w:rPr>
            </w:pPr>
          </w:p>
        </w:tc>
        <w:tc>
          <w:tcPr>
            <w:tcW w:w="1448" w:type="dxa"/>
          </w:tcPr>
          <w:p w14:paraId="5D1C5F3E" w14:textId="48C78A40" w:rsidR="0016469A" w:rsidRPr="000234FE" w:rsidRDefault="0016469A" w:rsidP="00F95710">
            <w:pPr>
              <w:jc w:val="center"/>
              <w:rPr>
                <w:bCs/>
              </w:rPr>
            </w:pPr>
          </w:p>
        </w:tc>
      </w:tr>
      <w:tr w:rsidR="0016469A" w:rsidRPr="000234FE" w14:paraId="64A76806" w14:textId="77777777" w:rsidTr="005A13C5">
        <w:tc>
          <w:tcPr>
            <w:tcW w:w="2694" w:type="dxa"/>
          </w:tcPr>
          <w:p w14:paraId="30172BDF" w14:textId="0D2320D4" w:rsidR="0016469A" w:rsidRPr="000234FE" w:rsidRDefault="0016469A" w:rsidP="00F95710">
            <w:pPr>
              <w:jc w:val="both"/>
              <w:rPr>
                <w:bCs/>
              </w:rPr>
            </w:pPr>
            <w:r w:rsidRPr="000234FE">
              <w:rPr>
                <w:bCs/>
              </w:rPr>
              <w:t>c) bugetul asigurărilor sociale de stat:</w:t>
            </w:r>
          </w:p>
          <w:p w14:paraId="03FADADD" w14:textId="1EB62078" w:rsidR="0016469A" w:rsidRPr="000234FE" w:rsidRDefault="0016469A" w:rsidP="00F95710">
            <w:pPr>
              <w:jc w:val="both"/>
              <w:rPr>
                <w:bCs/>
              </w:rPr>
            </w:pPr>
            <w:r w:rsidRPr="000234FE">
              <w:rPr>
                <w:bCs/>
              </w:rPr>
              <w:t>(i) cheltuieli de personal</w:t>
            </w:r>
          </w:p>
          <w:p w14:paraId="55656529" w14:textId="757B5B4C" w:rsidR="0016469A" w:rsidRPr="000234FE" w:rsidRDefault="0016469A" w:rsidP="00F95710">
            <w:pPr>
              <w:jc w:val="both"/>
              <w:rPr>
                <w:bCs/>
              </w:rPr>
            </w:pPr>
            <w:r w:rsidRPr="000234FE">
              <w:rPr>
                <w:bCs/>
              </w:rPr>
              <w:t>(ii) bunuri şi servicii</w:t>
            </w:r>
          </w:p>
        </w:tc>
        <w:tc>
          <w:tcPr>
            <w:tcW w:w="1058" w:type="dxa"/>
          </w:tcPr>
          <w:p w14:paraId="2DE6BAAD" w14:textId="0766F535" w:rsidR="0016469A" w:rsidRPr="000234FE" w:rsidRDefault="0016469A" w:rsidP="00F95710">
            <w:pPr>
              <w:jc w:val="center"/>
              <w:rPr>
                <w:bCs/>
              </w:rPr>
            </w:pPr>
          </w:p>
        </w:tc>
        <w:tc>
          <w:tcPr>
            <w:tcW w:w="1366" w:type="dxa"/>
          </w:tcPr>
          <w:p w14:paraId="07943E17" w14:textId="59E6D42F" w:rsidR="0016469A" w:rsidRPr="000234FE" w:rsidRDefault="0016469A" w:rsidP="00F95710">
            <w:pPr>
              <w:jc w:val="center"/>
              <w:rPr>
                <w:bCs/>
              </w:rPr>
            </w:pPr>
          </w:p>
        </w:tc>
        <w:tc>
          <w:tcPr>
            <w:tcW w:w="1466" w:type="dxa"/>
          </w:tcPr>
          <w:p w14:paraId="5D1EB785" w14:textId="62CC7D11" w:rsidR="0016469A" w:rsidRPr="000234FE" w:rsidRDefault="0016469A" w:rsidP="00F95710">
            <w:pPr>
              <w:jc w:val="center"/>
              <w:rPr>
                <w:bCs/>
              </w:rPr>
            </w:pPr>
          </w:p>
        </w:tc>
        <w:tc>
          <w:tcPr>
            <w:tcW w:w="1366" w:type="dxa"/>
          </w:tcPr>
          <w:p w14:paraId="7E7347DF" w14:textId="5173CEAC" w:rsidR="0016469A" w:rsidRPr="000234FE" w:rsidRDefault="0016469A" w:rsidP="00F95710">
            <w:pPr>
              <w:jc w:val="center"/>
              <w:rPr>
                <w:bCs/>
              </w:rPr>
            </w:pPr>
          </w:p>
        </w:tc>
        <w:tc>
          <w:tcPr>
            <w:tcW w:w="1135" w:type="dxa"/>
          </w:tcPr>
          <w:p w14:paraId="27993F0F" w14:textId="05B37A9F" w:rsidR="0016469A" w:rsidRPr="000234FE" w:rsidRDefault="0016469A" w:rsidP="00F95710">
            <w:pPr>
              <w:jc w:val="center"/>
              <w:rPr>
                <w:bCs/>
              </w:rPr>
            </w:pPr>
          </w:p>
        </w:tc>
        <w:tc>
          <w:tcPr>
            <w:tcW w:w="1448" w:type="dxa"/>
          </w:tcPr>
          <w:p w14:paraId="3D14DE78" w14:textId="58EC8B93" w:rsidR="0016469A" w:rsidRPr="000234FE" w:rsidRDefault="0016469A" w:rsidP="00F95710">
            <w:pPr>
              <w:jc w:val="center"/>
              <w:rPr>
                <w:bCs/>
              </w:rPr>
            </w:pPr>
          </w:p>
        </w:tc>
      </w:tr>
      <w:tr w:rsidR="0016469A" w:rsidRPr="000234FE" w14:paraId="5C3A403A" w14:textId="77777777" w:rsidTr="005A13C5">
        <w:tc>
          <w:tcPr>
            <w:tcW w:w="2694" w:type="dxa"/>
          </w:tcPr>
          <w:p w14:paraId="3BF8A849" w14:textId="176DF995" w:rsidR="0016469A" w:rsidRPr="000234FE" w:rsidRDefault="0016469A" w:rsidP="00F95710">
            <w:pPr>
              <w:jc w:val="both"/>
              <w:rPr>
                <w:bCs/>
              </w:rPr>
            </w:pPr>
            <w:r w:rsidRPr="000234FE">
              <w:rPr>
                <w:bCs/>
              </w:rPr>
              <w:t>d) alte tipuri de cheltuieli</w:t>
            </w:r>
          </w:p>
          <w:p w14:paraId="359EE9C4" w14:textId="710C86CB" w:rsidR="0016469A" w:rsidRPr="000234FE" w:rsidRDefault="0016469A" w:rsidP="00F95710">
            <w:pPr>
              <w:jc w:val="both"/>
              <w:rPr>
                <w:bCs/>
              </w:rPr>
            </w:pPr>
            <w:r w:rsidRPr="000234FE">
              <w:rPr>
                <w:bCs/>
              </w:rPr>
              <w:t>(Se va menționa natura acestora.)</w:t>
            </w:r>
          </w:p>
        </w:tc>
        <w:tc>
          <w:tcPr>
            <w:tcW w:w="1058" w:type="dxa"/>
          </w:tcPr>
          <w:p w14:paraId="2C7AC338" w14:textId="54FDE04C" w:rsidR="0016469A" w:rsidRPr="000234FE" w:rsidRDefault="0016469A" w:rsidP="00F95710">
            <w:pPr>
              <w:jc w:val="center"/>
              <w:rPr>
                <w:bCs/>
              </w:rPr>
            </w:pPr>
          </w:p>
        </w:tc>
        <w:tc>
          <w:tcPr>
            <w:tcW w:w="1366" w:type="dxa"/>
          </w:tcPr>
          <w:p w14:paraId="7CA00BF7" w14:textId="653C4A5E" w:rsidR="0016469A" w:rsidRPr="000234FE" w:rsidRDefault="0016469A" w:rsidP="00F95710">
            <w:pPr>
              <w:jc w:val="center"/>
              <w:rPr>
                <w:bCs/>
              </w:rPr>
            </w:pPr>
          </w:p>
        </w:tc>
        <w:tc>
          <w:tcPr>
            <w:tcW w:w="1466" w:type="dxa"/>
          </w:tcPr>
          <w:p w14:paraId="22F7EDA8" w14:textId="54589440" w:rsidR="0016469A" w:rsidRPr="000234FE" w:rsidRDefault="0016469A" w:rsidP="00F95710">
            <w:pPr>
              <w:jc w:val="center"/>
              <w:rPr>
                <w:bCs/>
              </w:rPr>
            </w:pPr>
          </w:p>
        </w:tc>
        <w:tc>
          <w:tcPr>
            <w:tcW w:w="1366" w:type="dxa"/>
          </w:tcPr>
          <w:p w14:paraId="1C65014D" w14:textId="6EE7F96C" w:rsidR="0016469A" w:rsidRPr="000234FE" w:rsidRDefault="0016469A" w:rsidP="00F95710">
            <w:pPr>
              <w:jc w:val="center"/>
              <w:rPr>
                <w:bCs/>
              </w:rPr>
            </w:pPr>
          </w:p>
        </w:tc>
        <w:tc>
          <w:tcPr>
            <w:tcW w:w="1135" w:type="dxa"/>
          </w:tcPr>
          <w:p w14:paraId="69EFB472" w14:textId="1D4804AC" w:rsidR="0016469A" w:rsidRPr="000234FE" w:rsidRDefault="0016469A" w:rsidP="00F95710">
            <w:pPr>
              <w:jc w:val="center"/>
              <w:rPr>
                <w:bCs/>
              </w:rPr>
            </w:pPr>
          </w:p>
        </w:tc>
        <w:tc>
          <w:tcPr>
            <w:tcW w:w="1448" w:type="dxa"/>
          </w:tcPr>
          <w:p w14:paraId="2BEA7293" w14:textId="13D99579" w:rsidR="0016469A" w:rsidRPr="000234FE" w:rsidRDefault="0016469A" w:rsidP="00F95710">
            <w:pPr>
              <w:jc w:val="center"/>
              <w:rPr>
                <w:bCs/>
              </w:rPr>
            </w:pPr>
          </w:p>
        </w:tc>
      </w:tr>
      <w:tr w:rsidR="00A75729" w:rsidRPr="000234FE" w14:paraId="6E9F3798" w14:textId="77777777" w:rsidTr="005A13C5">
        <w:tc>
          <w:tcPr>
            <w:tcW w:w="2694" w:type="dxa"/>
          </w:tcPr>
          <w:p w14:paraId="1C49C2EC" w14:textId="77777777" w:rsidR="00A75729" w:rsidRPr="000234FE" w:rsidRDefault="00A75729" w:rsidP="00F95710">
            <w:pPr>
              <w:jc w:val="both"/>
              <w:rPr>
                <w:bCs/>
              </w:rPr>
            </w:pPr>
            <w:r w:rsidRPr="000234FE">
              <w:rPr>
                <w:bCs/>
              </w:rPr>
              <w:t>4.3. Impact financiar, plus/minus, din care:</w:t>
            </w:r>
          </w:p>
          <w:p w14:paraId="656BFCEC" w14:textId="54C7982C" w:rsidR="00A75729" w:rsidRPr="000234FE" w:rsidRDefault="00A75729" w:rsidP="00F95710">
            <w:pPr>
              <w:jc w:val="both"/>
              <w:rPr>
                <w:bCs/>
              </w:rPr>
            </w:pPr>
            <w:r w:rsidRPr="000234FE">
              <w:rPr>
                <w:bCs/>
              </w:rPr>
              <w:t>a) buget de stat</w:t>
            </w:r>
          </w:p>
        </w:tc>
        <w:tc>
          <w:tcPr>
            <w:tcW w:w="1058" w:type="dxa"/>
          </w:tcPr>
          <w:p w14:paraId="7AD2D601" w14:textId="3C267774" w:rsidR="00A75729" w:rsidRPr="000234FE" w:rsidRDefault="00A75729" w:rsidP="00F95710">
            <w:pPr>
              <w:jc w:val="center"/>
              <w:rPr>
                <w:bCs/>
              </w:rPr>
            </w:pPr>
          </w:p>
        </w:tc>
        <w:tc>
          <w:tcPr>
            <w:tcW w:w="1366" w:type="dxa"/>
          </w:tcPr>
          <w:p w14:paraId="0568D044" w14:textId="6DCF135B" w:rsidR="00A75729" w:rsidRPr="000234FE" w:rsidRDefault="00A75729" w:rsidP="00F95710">
            <w:pPr>
              <w:jc w:val="center"/>
              <w:rPr>
                <w:bCs/>
              </w:rPr>
            </w:pPr>
          </w:p>
        </w:tc>
        <w:tc>
          <w:tcPr>
            <w:tcW w:w="1466" w:type="dxa"/>
          </w:tcPr>
          <w:p w14:paraId="210A6366" w14:textId="0B2A38BB" w:rsidR="00A75729" w:rsidRPr="000234FE" w:rsidRDefault="00A75729" w:rsidP="00F95710">
            <w:pPr>
              <w:jc w:val="center"/>
              <w:rPr>
                <w:bCs/>
              </w:rPr>
            </w:pPr>
          </w:p>
        </w:tc>
        <w:tc>
          <w:tcPr>
            <w:tcW w:w="1366" w:type="dxa"/>
          </w:tcPr>
          <w:p w14:paraId="2693F75B" w14:textId="30A6D445" w:rsidR="00A75729" w:rsidRPr="000234FE" w:rsidRDefault="00A75729" w:rsidP="00F95710">
            <w:pPr>
              <w:jc w:val="center"/>
              <w:rPr>
                <w:bCs/>
              </w:rPr>
            </w:pPr>
          </w:p>
        </w:tc>
        <w:tc>
          <w:tcPr>
            <w:tcW w:w="1135" w:type="dxa"/>
          </w:tcPr>
          <w:p w14:paraId="1585137C" w14:textId="587236A2" w:rsidR="00A75729" w:rsidRPr="000234FE" w:rsidRDefault="00A75729" w:rsidP="00F95710">
            <w:pPr>
              <w:jc w:val="center"/>
              <w:rPr>
                <w:bCs/>
              </w:rPr>
            </w:pPr>
          </w:p>
        </w:tc>
        <w:tc>
          <w:tcPr>
            <w:tcW w:w="1448" w:type="dxa"/>
          </w:tcPr>
          <w:p w14:paraId="2D494315" w14:textId="2A92AFE2" w:rsidR="00A75729" w:rsidRPr="000234FE" w:rsidRDefault="00A75729" w:rsidP="00F95710">
            <w:pPr>
              <w:jc w:val="center"/>
              <w:rPr>
                <w:bCs/>
              </w:rPr>
            </w:pPr>
          </w:p>
        </w:tc>
      </w:tr>
      <w:tr w:rsidR="00A75729" w:rsidRPr="000234FE" w14:paraId="3177FEF7" w14:textId="77777777" w:rsidTr="005A13C5">
        <w:tc>
          <w:tcPr>
            <w:tcW w:w="2694" w:type="dxa"/>
          </w:tcPr>
          <w:p w14:paraId="33908C4A" w14:textId="118E34DE" w:rsidR="00A75729" w:rsidRPr="000234FE" w:rsidRDefault="00A75729" w:rsidP="00F95710">
            <w:pPr>
              <w:jc w:val="both"/>
              <w:rPr>
                <w:bCs/>
              </w:rPr>
            </w:pPr>
            <w:r w:rsidRPr="000234FE">
              <w:rPr>
                <w:bCs/>
              </w:rPr>
              <w:t>b) bugete locale</w:t>
            </w:r>
          </w:p>
        </w:tc>
        <w:tc>
          <w:tcPr>
            <w:tcW w:w="1058" w:type="dxa"/>
          </w:tcPr>
          <w:p w14:paraId="4B62CC0C" w14:textId="67639218" w:rsidR="00A75729" w:rsidRPr="000234FE" w:rsidRDefault="00A75729" w:rsidP="00F95710">
            <w:pPr>
              <w:jc w:val="center"/>
              <w:rPr>
                <w:bCs/>
              </w:rPr>
            </w:pPr>
          </w:p>
        </w:tc>
        <w:tc>
          <w:tcPr>
            <w:tcW w:w="1366" w:type="dxa"/>
          </w:tcPr>
          <w:p w14:paraId="283AC80B" w14:textId="5AD98F84" w:rsidR="00A75729" w:rsidRPr="000234FE" w:rsidRDefault="00A75729" w:rsidP="00F95710">
            <w:pPr>
              <w:jc w:val="center"/>
              <w:rPr>
                <w:bCs/>
              </w:rPr>
            </w:pPr>
          </w:p>
        </w:tc>
        <w:tc>
          <w:tcPr>
            <w:tcW w:w="1466" w:type="dxa"/>
          </w:tcPr>
          <w:p w14:paraId="7219261C" w14:textId="6F98FAC7" w:rsidR="00A75729" w:rsidRPr="000234FE" w:rsidRDefault="00A75729" w:rsidP="00F95710">
            <w:pPr>
              <w:jc w:val="center"/>
              <w:rPr>
                <w:bCs/>
              </w:rPr>
            </w:pPr>
          </w:p>
        </w:tc>
        <w:tc>
          <w:tcPr>
            <w:tcW w:w="1366" w:type="dxa"/>
          </w:tcPr>
          <w:p w14:paraId="49D7F163" w14:textId="7C58A403" w:rsidR="00A75729" w:rsidRPr="000234FE" w:rsidRDefault="00A75729" w:rsidP="00F95710">
            <w:pPr>
              <w:jc w:val="center"/>
              <w:rPr>
                <w:bCs/>
              </w:rPr>
            </w:pPr>
          </w:p>
        </w:tc>
        <w:tc>
          <w:tcPr>
            <w:tcW w:w="1135" w:type="dxa"/>
          </w:tcPr>
          <w:p w14:paraId="7C544E7C" w14:textId="5C1DBFEC" w:rsidR="00A75729" w:rsidRPr="000234FE" w:rsidRDefault="00A75729" w:rsidP="00F95710">
            <w:pPr>
              <w:jc w:val="center"/>
              <w:rPr>
                <w:bCs/>
              </w:rPr>
            </w:pPr>
          </w:p>
        </w:tc>
        <w:tc>
          <w:tcPr>
            <w:tcW w:w="1448" w:type="dxa"/>
          </w:tcPr>
          <w:p w14:paraId="4953DDFD" w14:textId="2AC17E79" w:rsidR="00A75729" w:rsidRPr="000234FE" w:rsidRDefault="00A75729" w:rsidP="00F95710">
            <w:pPr>
              <w:jc w:val="center"/>
              <w:rPr>
                <w:bCs/>
              </w:rPr>
            </w:pPr>
          </w:p>
        </w:tc>
      </w:tr>
      <w:tr w:rsidR="00A75729" w:rsidRPr="000234FE" w14:paraId="4B985901" w14:textId="77777777" w:rsidTr="005A13C5">
        <w:tc>
          <w:tcPr>
            <w:tcW w:w="2694" w:type="dxa"/>
          </w:tcPr>
          <w:p w14:paraId="41F94191" w14:textId="4D675AF2" w:rsidR="00A75729" w:rsidRPr="000234FE" w:rsidRDefault="00A75729" w:rsidP="00F95710">
            <w:pPr>
              <w:jc w:val="both"/>
              <w:rPr>
                <w:bCs/>
              </w:rPr>
            </w:pPr>
            <w:r w:rsidRPr="000234FE">
              <w:rPr>
                <w:bCs/>
              </w:rPr>
              <w:t>4.4. Propuneri pentru acoperirea creşterii cheltuielilor bugetare</w:t>
            </w:r>
          </w:p>
        </w:tc>
        <w:tc>
          <w:tcPr>
            <w:tcW w:w="1058" w:type="dxa"/>
          </w:tcPr>
          <w:p w14:paraId="12553E7B" w14:textId="750196EC" w:rsidR="00A75729" w:rsidRPr="000234FE" w:rsidRDefault="00A75729" w:rsidP="00F95710">
            <w:pPr>
              <w:jc w:val="center"/>
              <w:rPr>
                <w:bCs/>
              </w:rPr>
            </w:pPr>
          </w:p>
        </w:tc>
        <w:tc>
          <w:tcPr>
            <w:tcW w:w="1366" w:type="dxa"/>
          </w:tcPr>
          <w:p w14:paraId="6B4AB040" w14:textId="22B0D5AA" w:rsidR="00A75729" w:rsidRPr="000234FE" w:rsidRDefault="00A75729" w:rsidP="00F95710">
            <w:pPr>
              <w:jc w:val="center"/>
              <w:rPr>
                <w:bCs/>
              </w:rPr>
            </w:pPr>
          </w:p>
        </w:tc>
        <w:tc>
          <w:tcPr>
            <w:tcW w:w="1466" w:type="dxa"/>
          </w:tcPr>
          <w:p w14:paraId="2B58709A" w14:textId="31C30C04" w:rsidR="00A75729" w:rsidRPr="000234FE" w:rsidRDefault="00A75729" w:rsidP="00F95710">
            <w:pPr>
              <w:jc w:val="center"/>
              <w:rPr>
                <w:bCs/>
              </w:rPr>
            </w:pPr>
          </w:p>
        </w:tc>
        <w:tc>
          <w:tcPr>
            <w:tcW w:w="1366" w:type="dxa"/>
          </w:tcPr>
          <w:p w14:paraId="7AE48667" w14:textId="57F37457" w:rsidR="00A75729" w:rsidRPr="000234FE" w:rsidRDefault="00A75729" w:rsidP="00F95710">
            <w:pPr>
              <w:jc w:val="center"/>
              <w:rPr>
                <w:bCs/>
              </w:rPr>
            </w:pPr>
          </w:p>
        </w:tc>
        <w:tc>
          <w:tcPr>
            <w:tcW w:w="1135" w:type="dxa"/>
          </w:tcPr>
          <w:p w14:paraId="2C05220B" w14:textId="006C5B33" w:rsidR="00A75729" w:rsidRPr="000234FE" w:rsidRDefault="00A75729" w:rsidP="00F95710">
            <w:pPr>
              <w:jc w:val="center"/>
              <w:rPr>
                <w:bCs/>
              </w:rPr>
            </w:pPr>
          </w:p>
        </w:tc>
        <w:tc>
          <w:tcPr>
            <w:tcW w:w="1448" w:type="dxa"/>
          </w:tcPr>
          <w:p w14:paraId="5BF7C6F4" w14:textId="71E88612" w:rsidR="00A75729" w:rsidRPr="000234FE" w:rsidRDefault="00A75729" w:rsidP="00F95710">
            <w:pPr>
              <w:jc w:val="center"/>
              <w:rPr>
                <w:bCs/>
              </w:rPr>
            </w:pPr>
          </w:p>
        </w:tc>
      </w:tr>
      <w:tr w:rsidR="00A75729" w:rsidRPr="000234FE" w14:paraId="0936FEC1" w14:textId="77777777" w:rsidTr="005A13C5">
        <w:tc>
          <w:tcPr>
            <w:tcW w:w="2694" w:type="dxa"/>
          </w:tcPr>
          <w:p w14:paraId="31602873" w14:textId="19763228" w:rsidR="00A75729" w:rsidRPr="000234FE" w:rsidRDefault="00A75729" w:rsidP="00F95710">
            <w:pPr>
              <w:jc w:val="both"/>
              <w:rPr>
                <w:bCs/>
              </w:rPr>
            </w:pPr>
            <w:r w:rsidRPr="000234FE">
              <w:rPr>
                <w:bCs/>
              </w:rPr>
              <w:lastRenderedPageBreak/>
              <w:t>4.5. Propuneri pentru a compensa reducerea veniturilor bugetare</w:t>
            </w:r>
          </w:p>
        </w:tc>
        <w:tc>
          <w:tcPr>
            <w:tcW w:w="1058" w:type="dxa"/>
          </w:tcPr>
          <w:p w14:paraId="50FCA196" w14:textId="645F6CC2" w:rsidR="00A75729" w:rsidRPr="000234FE" w:rsidRDefault="00A75729" w:rsidP="00F95710">
            <w:pPr>
              <w:jc w:val="center"/>
              <w:rPr>
                <w:bCs/>
              </w:rPr>
            </w:pPr>
          </w:p>
        </w:tc>
        <w:tc>
          <w:tcPr>
            <w:tcW w:w="1366" w:type="dxa"/>
          </w:tcPr>
          <w:p w14:paraId="06CFE138" w14:textId="11F7A41B" w:rsidR="00A75729" w:rsidRPr="000234FE" w:rsidRDefault="00A75729" w:rsidP="00F95710">
            <w:pPr>
              <w:jc w:val="center"/>
              <w:rPr>
                <w:bCs/>
              </w:rPr>
            </w:pPr>
          </w:p>
        </w:tc>
        <w:tc>
          <w:tcPr>
            <w:tcW w:w="1466" w:type="dxa"/>
          </w:tcPr>
          <w:p w14:paraId="6FFFE022" w14:textId="29C1FC45" w:rsidR="00A75729" w:rsidRPr="000234FE" w:rsidRDefault="00A75729" w:rsidP="00F95710">
            <w:pPr>
              <w:jc w:val="center"/>
              <w:rPr>
                <w:bCs/>
              </w:rPr>
            </w:pPr>
          </w:p>
        </w:tc>
        <w:tc>
          <w:tcPr>
            <w:tcW w:w="1366" w:type="dxa"/>
          </w:tcPr>
          <w:p w14:paraId="46465A6F" w14:textId="6061FA08" w:rsidR="00A75729" w:rsidRPr="000234FE" w:rsidRDefault="00A75729" w:rsidP="00F95710">
            <w:pPr>
              <w:jc w:val="center"/>
              <w:rPr>
                <w:bCs/>
              </w:rPr>
            </w:pPr>
          </w:p>
        </w:tc>
        <w:tc>
          <w:tcPr>
            <w:tcW w:w="1135" w:type="dxa"/>
          </w:tcPr>
          <w:p w14:paraId="14082553" w14:textId="1CBB8174" w:rsidR="00A75729" w:rsidRPr="000234FE" w:rsidRDefault="00A75729" w:rsidP="00F95710">
            <w:pPr>
              <w:jc w:val="center"/>
              <w:rPr>
                <w:bCs/>
              </w:rPr>
            </w:pPr>
          </w:p>
        </w:tc>
        <w:tc>
          <w:tcPr>
            <w:tcW w:w="1448" w:type="dxa"/>
          </w:tcPr>
          <w:p w14:paraId="178CA231" w14:textId="5907D677" w:rsidR="00A75729" w:rsidRPr="000234FE" w:rsidRDefault="00A75729" w:rsidP="00F95710">
            <w:pPr>
              <w:jc w:val="center"/>
              <w:rPr>
                <w:bCs/>
              </w:rPr>
            </w:pPr>
          </w:p>
        </w:tc>
      </w:tr>
      <w:tr w:rsidR="00A75729" w:rsidRPr="000234FE" w14:paraId="153D0F09" w14:textId="77777777" w:rsidTr="005A13C5">
        <w:tc>
          <w:tcPr>
            <w:tcW w:w="2694" w:type="dxa"/>
          </w:tcPr>
          <w:p w14:paraId="4E7FCDBB" w14:textId="336B0E28" w:rsidR="00A75729" w:rsidRPr="000234FE" w:rsidRDefault="00A75729" w:rsidP="00F95710">
            <w:pPr>
              <w:jc w:val="both"/>
              <w:rPr>
                <w:bCs/>
              </w:rPr>
            </w:pPr>
            <w:r w:rsidRPr="000234FE">
              <w:rPr>
                <w:bCs/>
              </w:rPr>
              <w:t>4.6. Calcule detaliate privind fundamentarea modificărilor  veniturilor şi/sau cheltuielilor bugetare</w:t>
            </w:r>
          </w:p>
        </w:tc>
        <w:tc>
          <w:tcPr>
            <w:tcW w:w="1058" w:type="dxa"/>
          </w:tcPr>
          <w:p w14:paraId="18046DC1" w14:textId="5549AEE4" w:rsidR="00A75729" w:rsidRPr="000234FE" w:rsidRDefault="00A75729" w:rsidP="00F95710">
            <w:pPr>
              <w:jc w:val="center"/>
              <w:rPr>
                <w:bCs/>
              </w:rPr>
            </w:pPr>
          </w:p>
        </w:tc>
        <w:tc>
          <w:tcPr>
            <w:tcW w:w="1366" w:type="dxa"/>
          </w:tcPr>
          <w:p w14:paraId="7CF35163" w14:textId="173487C8" w:rsidR="00A75729" w:rsidRPr="000234FE" w:rsidRDefault="00A75729" w:rsidP="00F95710">
            <w:pPr>
              <w:jc w:val="center"/>
              <w:rPr>
                <w:bCs/>
              </w:rPr>
            </w:pPr>
          </w:p>
        </w:tc>
        <w:tc>
          <w:tcPr>
            <w:tcW w:w="1466" w:type="dxa"/>
          </w:tcPr>
          <w:p w14:paraId="1D863FB9" w14:textId="1FE7B5C2" w:rsidR="00A75729" w:rsidRPr="000234FE" w:rsidRDefault="00A75729" w:rsidP="00F95710">
            <w:pPr>
              <w:jc w:val="center"/>
              <w:rPr>
                <w:bCs/>
              </w:rPr>
            </w:pPr>
          </w:p>
        </w:tc>
        <w:tc>
          <w:tcPr>
            <w:tcW w:w="1366" w:type="dxa"/>
          </w:tcPr>
          <w:p w14:paraId="42476051" w14:textId="37A068F8" w:rsidR="00A75729" w:rsidRPr="000234FE" w:rsidRDefault="00A75729" w:rsidP="00F95710">
            <w:pPr>
              <w:jc w:val="center"/>
              <w:rPr>
                <w:bCs/>
              </w:rPr>
            </w:pPr>
          </w:p>
        </w:tc>
        <w:tc>
          <w:tcPr>
            <w:tcW w:w="1135" w:type="dxa"/>
          </w:tcPr>
          <w:p w14:paraId="4746E189" w14:textId="0B257905" w:rsidR="00A75729" w:rsidRPr="000234FE" w:rsidRDefault="00A75729" w:rsidP="00F95710">
            <w:pPr>
              <w:jc w:val="center"/>
              <w:rPr>
                <w:bCs/>
              </w:rPr>
            </w:pPr>
          </w:p>
        </w:tc>
        <w:tc>
          <w:tcPr>
            <w:tcW w:w="1448" w:type="dxa"/>
          </w:tcPr>
          <w:p w14:paraId="05472402" w14:textId="3BDC3D39" w:rsidR="00A75729" w:rsidRPr="000234FE" w:rsidRDefault="00A75729" w:rsidP="00F95710">
            <w:pPr>
              <w:jc w:val="center"/>
              <w:rPr>
                <w:bCs/>
              </w:rPr>
            </w:pPr>
          </w:p>
        </w:tc>
      </w:tr>
      <w:tr w:rsidR="00A75729" w:rsidRPr="000234FE" w14:paraId="260B3CE9" w14:textId="77777777" w:rsidTr="006A42CB">
        <w:tc>
          <w:tcPr>
            <w:tcW w:w="10533" w:type="dxa"/>
            <w:gridSpan w:val="7"/>
          </w:tcPr>
          <w:p w14:paraId="38A65360" w14:textId="7BB19CF9" w:rsidR="00A75729" w:rsidRPr="000234FE" w:rsidRDefault="00A75729" w:rsidP="00F95710">
            <w:pPr>
              <w:jc w:val="both"/>
              <w:rPr>
                <w:bCs/>
              </w:rPr>
            </w:pPr>
            <w:r w:rsidRPr="00D224F3">
              <w:rPr>
                <w:b/>
              </w:rPr>
              <w:t>4.7. Prezentarea, în cazul proiectelor de acte normative</w:t>
            </w:r>
            <w:r w:rsidR="00A60FAE" w:rsidRPr="00D224F3">
              <w:rPr>
                <w:b/>
              </w:rPr>
              <w:t xml:space="preserve"> a căror adaptare atrage majorarea cheltuielilor bugetare, a următoarelor documente</w:t>
            </w:r>
            <w:r w:rsidR="00A60FAE" w:rsidRPr="000234FE">
              <w:rPr>
                <w:bCs/>
              </w:rPr>
              <w:t>:</w:t>
            </w:r>
          </w:p>
          <w:p w14:paraId="67DFFAEF" w14:textId="350B0C6A" w:rsidR="00A60FAE" w:rsidRPr="000234FE" w:rsidRDefault="00A60FAE" w:rsidP="00F95710">
            <w:pPr>
              <w:jc w:val="both"/>
              <w:rPr>
                <w:bCs/>
              </w:rPr>
            </w:pPr>
            <w:r w:rsidRPr="000234FE">
              <w:rPr>
                <w:bCs/>
              </w:rPr>
              <w:t>a) fișa financiară prevăzută la art. 15 din Legea nr. 500/2002 privind finanțele publice, cu modificările și completările ulterioare, însoțită de ipotezele și metodologia de calcul utilizată;</w:t>
            </w:r>
          </w:p>
          <w:p w14:paraId="699F79A9" w14:textId="3858F0A9" w:rsidR="00A60FAE" w:rsidRPr="000234FE" w:rsidRDefault="00A60FAE" w:rsidP="00F95710">
            <w:pPr>
              <w:jc w:val="both"/>
              <w:rPr>
                <w:bCs/>
              </w:rPr>
            </w:pPr>
            <w:r w:rsidRPr="000234FE">
              <w:rPr>
                <w:bCs/>
              </w:rPr>
              <w:t xml:space="preserve">b) declarație conform căreia majorarea de cheltuială respectivă este compatibilă cu obiectivele și prioritățile strategice specificate în strategia fiscal-bugetară, cu legea bugetară anuală și cu plafoanele </w:t>
            </w:r>
            <w:r w:rsidR="00A82648" w:rsidRPr="000234FE">
              <w:rPr>
                <w:bCs/>
              </w:rPr>
              <w:t xml:space="preserve">de cheltuieli </w:t>
            </w:r>
            <w:r w:rsidRPr="000234FE">
              <w:rPr>
                <w:bCs/>
              </w:rPr>
              <w:t>prezentate în strategia fiscal-bugetară.</w:t>
            </w:r>
          </w:p>
        </w:tc>
      </w:tr>
      <w:tr w:rsidR="00B4537B" w:rsidRPr="000234FE" w14:paraId="675CE50B" w14:textId="77777777" w:rsidTr="00D72556">
        <w:tc>
          <w:tcPr>
            <w:tcW w:w="10533" w:type="dxa"/>
            <w:gridSpan w:val="7"/>
          </w:tcPr>
          <w:p w14:paraId="24FE3DFA" w14:textId="681DC3DC" w:rsidR="00B4537B" w:rsidRPr="00D224F3" w:rsidRDefault="00B4537B" w:rsidP="00F95710">
            <w:pPr>
              <w:rPr>
                <w:b/>
                <w:noProof/>
              </w:rPr>
            </w:pPr>
            <w:r w:rsidRPr="00D224F3">
              <w:rPr>
                <w:b/>
                <w:noProof/>
              </w:rPr>
              <w:t>4.8. Alte informații</w:t>
            </w:r>
          </w:p>
          <w:p w14:paraId="02A7AD77" w14:textId="77777777" w:rsidR="00041F4F" w:rsidRPr="00041F4F" w:rsidRDefault="00041F4F" w:rsidP="00041F4F">
            <w:pPr>
              <w:jc w:val="both"/>
              <w:rPr>
                <w:sz w:val="22"/>
                <w:szCs w:val="22"/>
              </w:rPr>
            </w:pPr>
            <w:r>
              <w:t>Având în vedere că:</w:t>
            </w:r>
          </w:p>
          <w:p w14:paraId="75B658B6" w14:textId="7D5B09A3" w:rsidR="00041F4F" w:rsidRDefault="00041F4F" w:rsidP="00041F4F">
            <w:pPr>
              <w:jc w:val="both"/>
            </w:pPr>
            <w:r>
              <w:t xml:space="preserve">- România și-a luat angajamentul prin OUG nr.15/2022 privind acordarea de sprijin și asistență umanitară de către statul român cetățenilor străini sau apatrizilor aflați în situații deosebite, proveniți din zona conflictului armat din Ucraina plății unei sume forfetare lunare, pentru acoperirea cheltuielilor de cazare și hrană, acordată din bugetul inspectoratelor județene pentru situații de urgență/Inspectoratului pentru Situații de Urgență București-Ilfov, </w:t>
            </w:r>
          </w:p>
          <w:p w14:paraId="6F763DF2" w14:textId="00F334DB" w:rsidR="00041F4F" w:rsidRDefault="00041F4F" w:rsidP="00041F4F">
            <w:pPr>
              <w:jc w:val="both"/>
            </w:pPr>
            <w:r>
              <w:t>-</w:t>
            </w:r>
            <w:r w:rsidR="00DB3161">
              <w:t xml:space="preserve"> </w:t>
            </w:r>
            <w:r>
              <w:t xml:space="preserve">prin decertificarea sumei de 41.253.761,75 EUR, se creează premisele decontării </w:t>
            </w:r>
            <w:r w:rsidR="00702968">
              <w:t xml:space="preserve">parțiale </w:t>
            </w:r>
            <w:r>
              <w:t xml:space="preserve">de la Comisia Europeană a </w:t>
            </w:r>
            <w:r w:rsidR="00702968">
              <w:t xml:space="preserve">cheltuielilor deja susținute din bugetul de stat, conform prevederilor OUG nr.15/2022, prin </w:t>
            </w:r>
            <w:r>
              <w:t>schem</w:t>
            </w:r>
            <w:r w:rsidR="00702968">
              <w:t>a</w:t>
            </w:r>
            <w:r>
              <w:t xml:space="preserve"> de ajutor pentru refugiații din Ucraina</w:t>
            </w:r>
            <w:r w:rsidR="00702968">
              <w:t>, suma în cauză fiind inclusă în</w:t>
            </w:r>
            <w:r>
              <w:t xml:space="preserve"> valoare</w:t>
            </w:r>
            <w:r w:rsidR="00702968">
              <w:t>a</w:t>
            </w:r>
            <w:r>
              <w:t xml:space="preserve"> totală </w:t>
            </w:r>
            <w:r w:rsidR="00702968">
              <w:t>a acesteia, respectiv</w:t>
            </w:r>
            <w:r>
              <w:t xml:space="preserve"> 400 milioane EUR,</w:t>
            </w:r>
          </w:p>
          <w:p w14:paraId="26335930" w14:textId="613F643B" w:rsidR="00041F4F" w:rsidRDefault="00041F4F" w:rsidP="00041F4F">
            <w:pPr>
              <w:jc w:val="both"/>
            </w:pPr>
            <w:r>
              <w:t>opinăm că suma decertificată prin prezentul HG nu presupune depășirea alocării la nivelul programului și totodată nu reprezintă impact asupra bugetului de stat</w:t>
            </w:r>
            <w:r w:rsidR="00702968">
              <w:t>, deoarece se preiau cheltuieli deja suportate de la bugetul de stat conform OUG nr.15/2022 în cuantumul sumei decertificate</w:t>
            </w:r>
            <w:r>
              <w:t>.</w:t>
            </w:r>
          </w:p>
          <w:p w14:paraId="14176623" w14:textId="77777777" w:rsidR="00041F4F" w:rsidRPr="000234FE" w:rsidRDefault="00041F4F" w:rsidP="00F95710">
            <w:pPr>
              <w:rPr>
                <w:bCs/>
                <w:noProof/>
              </w:rPr>
            </w:pPr>
          </w:p>
          <w:p w14:paraId="64B74EF4" w14:textId="18EADAEB" w:rsidR="00E150CD" w:rsidRPr="000234FE" w:rsidRDefault="00E150CD" w:rsidP="00F95710">
            <w:pPr>
              <w:jc w:val="both"/>
              <w:rPr>
                <w:bCs/>
                <w:noProof/>
              </w:rPr>
            </w:pPr>
          </w:p>
        </w:tc>
      </w:tr>
    </w:tbl>
    <w:p w14:paraId="549002D4" w14:textId="77777777" w:rsidR="008A040A" w:rsidRPr="000234FE" w:rsidRDefault="008A040A" w:rsidP="00F95710">
      <w:pPr>
        <w:ind w:firstLine="720"/>
        <w:jc w:val="both"/>
        <w:rPr>
          <w:bCs/>
        </w:rPr>
      </w:pPr>
    </w:p>
    <w:p w14:paraId="777ED2E4" w14:textId="6F4843FB" w:rsidR="00B4537B" w:rsidRPr="00D224F3" w:rsidRDefault="00670C79" w:rsidP="00F95710">
      <w:pPr>
        <w:ind w:firstLine="720"/>
        <w:jc w:val="both"/>
        <w:rPr>
          <w:b/>
        </w:rPr>
      </w:pPr>
      <w:r w:rsidRPr="00D224F3">
        <w:rPr>
          <w:b/>
        </w:rPr>
        <w:t xml:space="preserve">Secţiunea a 5-a </w:t>
      </w:r>
    </w:p>
    <w:p w14:paraId="7E1BCAF6" w14:textId="576D5D21" w:rsidR="00670C79" w:rsidRPr="00D224F3" w:rsidRDefault="00670C79" w:rsidP="00F95710">
      <w:pPr>
        <w:ind w:firstLine="720"/>
        <w:jc w:val="both"/>
        <w:rPr>
          <w:b/>
        </w:rPr>
      </w:pPr>
      <w:r w:rsidRPr="00D224F3">
        <w:rPr>
          <w:b/>
        </w:rPr>
        <w:t>Efectele proiectului de act normativ asupra legislaţiei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0234FE" w14:paraId="327176B4" w14:textId="77777777" w:rsidTr="00B400EE">
        <w:trPr>
          <w:trHeight w:val="561"/>
        </w:trPr>
        <w:tc>
          <w:tcPr>
            <w:tcW w:w="10533" w:type="dxa"/>
          </w:tcPr>
          <w:p w14:paraId="4F9076D7" w14:textId="407D2D2C" w:rsidR="00973701" w:rsidRPr="000234FE" w:rsidRDefault="00973701" w:rsidP="00F95710">
            <w:pPr>
              <w:jc w:val="both"/>
              <w:rPr>
                <w:bCs/>
              </w:rPr>
            </w:pPr>
            <w:r w:rsidRPr="000234FE">
              <w:rPr>
                <w:bCs/>
              </w:rPr>
              <w:t>5.1. Măsuri normative necesare pentru aplicarea prevederilor proiectului de act normativ</w:t>
            </w:r>
          </w:p>
          <w:p w14:paraId="0C5C0FC7" w14:textId="77777777" w:rsidR="00E150CD" w:rsidRPr="000234FE" w:rsidRDefault="00E150CD" w:rsidP="00F95710">
            <w:pPr>
              <w:tabs>
                <w:tab w:val="left" w:pos="201"/>
              </w:tabs>
              <w:jc w:val="both"/>
              <w:rPr>
                <w:bCs/>
              </w:rPr>
            </w:pPr>
            <w:r w:rsidRPr="000234FE">
              <w:rPr>
                <w:bCs/>
              </w:rPr>
              <w:t>Proiectul de act normativ nu se referă la acest subiect.</w:t>
            </w:r>
          </w:p>
          <w:p w14:paraId="79B335E6" w14:textId="18804822" w:rsidR="00973701" w:rsidRPr="000234FE" w:rsidRDefault="00973701" w:rsidP="00F95710">
            <w:pPr>
              <w:tabs>
                <w:tab w:val="left" w:pos="201"/>
              </w:tabs>
              <w:jc w:val="both"/>
              <w:rPr>
                <w:bCs/>
              </w:rPr>
            </w:pPr>
            <w:r w:rsidRPr="000234FE">
              <w:rPr>
                <w:bCs/>
              </w:rPr>
              <w:t>5.2. Impactul asupra legislației în domeniul achizițiilor publice</w:t>
            </w:r>
          </w:p>
          <w:p w14:paraId="36FAC0AD" w14:textId="77777777" w:rsidR="00E150CD" w:rsidRPr="000234FE" w:rsidRDefault="00E150CD" w:rsidP="00F95710">
            <w:pPr>
              <w:tabs>
                <w:tab w:val="left" w:pos="201"/>
              </w:tabs>
              <w:jc w:val="both"/>
              <w:rPr>
                <w:bCs/>
              </w:rPr>
            </w:pPr>
            <w:r w:rsidRPr="000234FE">
              <w:rPr>
                <w:bCs/>
              </w:rPr>
              <w:t>Proiectul de act normativ nu se referă la acest subiect.</w:t>
            </w:r>
          </w:p>
          <w:p w14:paraId="3CE6B9A6" w14:textId="59874F51" w:rsidR="00973701" w:rsidRPr="000234FE" w:rsidRDefault="00973701" w:rsidP="00F95710">
            <w:pPr>
              <w:tabs>
                <w:tab w:val="left" w:pos="201"/>
              </w:tabs>
              <w:jc w:val="both"/>
              <w:rPr>
                <w:bCs/>
              </w:rPr>
            </w:pPr>
            <w:r w:rsidRPr="000234FE">
              <w:rPr>
                <w:bCs/>
              </w:rPr>
              <w:t>5.3. Conformitatea  proiectului de act normativ cu legislaţia UE (în cazul proiectelor ce transpun sau asigură aplicarea unor prevederi de drept UE)</w:t>
            </w:r>
          </w:p>
          <w:p w14:paraId="09158D06" w14:textId="7EEBFF96" w:rsidR="00973701" w:rsidRPr="000234FE" w:rsidRDefault="00973701" w:rsidP="00F95710">
            <w:pPr>
              <w:tabs>
                <w:tab w:val="left" w:pos="201"/>
              </w:tabs>
              <w:jc w:val="both"/>
              <w:rPr>
                <w:bCs/>
              </w:rPr>
            </w:pPr>
            <w:r w:rsidRPr="000234FE">
              <w:rPr>
                <w:bCs/>
              </w:rPr>
              <w:t>5.3.1. Măsuri normative necesare transpunerii directivelor UE</w:t>
            </w:r>
          </w:p>
          <w:p w14:paraId="753D5E08" w14:textId="77777777" w:rsidR="00E150CD" w:rsidRPr="000234FE" w:rsidRDefault="00E150CD" w:rsidP="00F95710">
            <w:pPr>
              <w:tabs>
                <w:tab w:val="left" w:pos="201"/>
              </w:tabs>
              <w:jc w:val="both"/>
              <w:rPr>
                <w:bCs/>
              </w:rPr>
            </w:pPr>
            <w:r w:rsidRPr="000234FE">
              <w:rPr>
                <w:bCs/>
              </w:rPr>
              <w:t>Proiectul de act normativ nu se referă la acest subiect.</w:t>
            </w:r>
          </w:p>
          <w:p w14:paraId="4087DBF1" w14:textId="35F78F33" w:rsidR="00973701" w:rsidRPr="000234FE" w:rsidRDefault="00674D58" w:rsidP="00F95710">
            <w:pPr>
              <w:tabs>
                <w:tab w:val="left" w:pos="201"/>
              </w:tabs>
              <w:jc w:val="both"/>
              <w:rPr>
                <w:bCs/>
              </w:rPr>
            </w:pPr>
            <w:r w:rsidRPr="000234FE">
              <w:rPr>
                <w:bCs/>
              </w:rPr>
              <w:t>5.3.2. Măsuri normative necesare aplicării actelor legislative UE</w:t>
            </w:r>
          </w:p>
          <w:p w14:paraId="51097677" w14:textId="77777777" w:rsidR="00E150CD" w:rsidRPr="000234FE" w:rsidRDefault="00E150CD" w:rsidP="00F95710">
            <w:pPr>
              <w:tabs>
                <w:tab w:val="left" w:pos="201"/>
              </w:tabs>
              <w:jc w:val="both"/>
              <w:rPr>
                <w:bCs/>
              </w:rPr>
            </w:pPr>
            <w:r w:rsidRPr="000234FE">
              <w:rPr>
                <w:bCs/>
              </w:rPr>
              <w:t>Proiectul de act normativ nu se referă la acest subiect.</w:t>
            </w:r>
          </w:p>
          <w:p w14:paraId="1292063A" w14:textId="2B5B8A76" w:rsidR="002623AD" w:rsidRPr="000234FE" w:rsidRDefault="00674D58" w:rsidP="00F95710">
            <w:pPr>
              <w:tabs>
                <w:tab w:val="left" w:pos="201"/>
              </w:tabs>
              <w:jc w:val="both"/>
              <w:rPr>
                <w:bCs/>
              </w:rPr>
            </w:pPr>
            <w:r w:rsidRPr="000234FE">
              <w:rPr>
                <w:bCs/>
              </w:rPr>
              <w:t>5.4. Hotărâri ale Curţii de Justiţie a Uniunii Europene</w:t>
            </w:r>
            <w:r w:rsidR="002623AD" w:rsidRPr="000234FE">
              <w:rPr>
                <w:bCs/>
              </w:rPr>
              <w:t xml:space="preserve"> </w:t>
            </w:r>
          </w:p>
          <w:p w14:paraId="71DB943A" w14:textId="0FD25A3A" w:rsidR="00E150CD" w:rsidRPr="000234FE" w:rsidRDefault="00E150CD" w:rsidP="00F95710">
            <w:pPr>
              <w:tabs>
                <w:tab w:val="left" w:pos="201"/>
              </w:tabs>
              <w:jc w:val="both"/>
              <w:rPr>
                <w:bCs/>
                <w:color w:val="FF0000"/>
              </w:rPr>
            </w:pPr>
            <w:r w:rsidRPr="000234FE">
              <w:rPr>
                <w:bCs/>
              </w:rPr>
              <w:t>Proiectul de act normativ nu se referă la acest subiect.</w:t>
            </w:r>
          </w:p>
          <w:p w14:paraId="7D666964" w14:textId="097A58C0" w:rsidR="00E150CD" w:rsidRPr="000234FE" w:rsidRDefault="00674D58" w:rsidP="00F95710">
            <w:pPr>
              <w:tabs>
                <w:tab w:val="left" w:pos="201"/>
              </w:tabs>
              <w:jc w:val="both"/>
              <w:rPr>
                <w:bCs/>
              </w:rPr>
            </w:pPr>
            <w:r w:rsidRPr="000234FE">
              <w:rPr>
                <w:bCs/>
              </w:rPr>
              <w:t>5.5. Alte acte normative şi/sau documente internaţionale din care decurg angajamente asumate</w:t>
            </w:r>
            <w:r w:rsidR="002623AD" w:rsidRPr="000234FE">
              <w:rPr>
                <w:bCs/>
              </w:rPr>
              <w:t xml:space="preserve"> </w:t>
            </w:r>
          </w:p>
          <w:p w14:paraId="35AB762C" w14:textId="0DE152B6" w:rsidR="00E150CD" w:rsidRPr="000234FE" w:rsidRDefault="00E150CD" w:rsidP="00F95710">
            <w:pPr>
              <w:tabs>
                <w:tab w:val="left" w:pos="201"/>
              </w:tabs>
              <w:jc w:val="both"/>
              <w:rPr>
                <w:bCs/>
              </w:rPr>
            </w:pPr>
            <w:r w:rsidRPr="000234FE">
              <w:rPr>
                <w:bCs/>
              </w:rPr>
              <w:t>Proiectul de act normativ nu se referă la acest subiect.</w:t>
            </w:r>
          </w:p>
          <w:p w14:paraId="2DF04BE0" w14:textId="77777777" w:rsidR="00973701" w:rsidRPr="000234FE" w:rsidRDefault="00674D58" w:rsidP="00F95710">
            <w:pPr>
              <w:tabs>
                <w:tab w:val="left" w:pos="201"/>
              </w:tabs>
              <w:jc w:val="both"/>
              <w:rPr>
                <w:bCs/>
              </w:rPr>
            </w:pPr>
            <w:r w:rsidRPr="000234FE">
              <w:rPr>
                <w:bCs/>
              </w:rPr>
              <w:t>5.6. Alte informații</w:t>
            </w:r>
          </w:p>
          <w:p w14:paraId="7C430706" w14:textId="769B8CEA" w:rsidR="00E150CD" w:rsidRPr="000234FE" w:rsidRDefault="00E150CD" w:rsidP="00E150CD">
            <w:pPr>
              <w:tabs>
                <w:tab w:val="left" w:pos="201"/>
              </w:tabs>
              <w:spacing w:after="120"/>
              <w:jc w:val="both"/>
              <w:rPr>
                <w:bCs/>
              </w:rPr>
            </w:pPr>
            <w:r w:rsidRPr="000234FE">
              <w:rPr>
                <w:bCs/>
              </w:rPr>
              <w:t>Nu au fost identificate.</w:t>
            </w:r>
          </w:p>
        </w:tc>
      </w:tr>
    </w:tbl>
    <w:p w14:paraId="6F04DAD9" w14:textId="10C38A1E" w:rsidR="00BB0782" w:rsidRPr="00D224F3" w:rsidRDefault="00BB0782" w:rsidP="00F95710">
      <w:pPr>
        <w:ind w:firstLine="720"/>
        <w:rPr>
          <w:b/>
        </w:rPr>
      </w:pPr>
      <w:r w:rsidRPr="00D224F3">
        <w:rPr>
          <w:b/>
        </w:rPr>
        <w:lastRenderedPageBreak/>
        <w:t>Secțiunea a 6-a</w:t>
      </w:r>
    </w:p>
    <w:p w14:paraId="4113E59E" w14:textId="59419D76" w:rsidR="00670C79" w:rsidRPr="00D224F3" w:rsidRDefault="00670C79" w:rsidP="00F95710">
      <w:pPr>
        <w:ind w:firstLine="720"/>
        <w:rPr>
          <w:b/>
        </w:rPr>
      </w:pPr>
      <w:r w:rsidRPr="00D224F3">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234FE" w14:paraId="5EB7CDBC" w14:textId="77777777" w:rsidTr="00096014">
        <w:tc>
          <w:tcPr>
            <w:tcW w:w="10533" w:type="dxa"/>
          </w:tcPr>
          <w:p w14:paraId="598B642C" w14:textId="50A84CE9" w:rsidR="00770E01" w:rsidRPr="000234FE" w:rsidRDefault="00770E01" w:rsidP="00F95710">
            <w:pPr>
              <w:jc w:val="both"/>
              <w:rPr>
                <w:bCs/>
              </w:rPr>
            </w:pPr>
            <w:r w:rsidRPr="000234FE">
              <w:rPr>
                <w:bCs/>
              </w:rPr>
              <w:t>6.1. Informații privind neaplicarea procedurii de participare la elaborarea actelor normative</w:t>
            </w:r>
          </w:p>
          <w:p w14:paraId="3BF13227" w14:textId="1352A969" w:rsidR="00E150CD" w:rsidRPr="000234FE" w:rsidRDefault="00E150CD" w:rsidP="00F95710">
            <w:pPr>
              <w:jc w:val="both"/>
              <w:rPr>
                <w:bCs/>
              </w:rPr>
            </w:pPr>
            <w:r w:rsidRPr="000234FE">
              <w:rPr>
                <w:bCs/>
              </w:rPr>
              <w:t>Proiectul de act normativ nu se referă la acest subiect.</w:t>
            </w:r>
          </w:p>
          <w:p w14:paraId="0B61431A" w14:textId="50969579" w:rsidR="00770E01" w:rsidRPr="000234FE" w:rsidRDefault="00770E01" w:rsidP="00F95710">
            <w:pPr>
              <w:jc w:val="both"/>
              <w:rPr>
                <w:bCs/>
              </w:rPr>
            </w:pPr>
            <w:r w:rsidRPr="000234FE">
              <w:rPr>
                <w:bCs/>
              </w:rPr>
              <w:t>6.2. Informaţii privind procesul de consultare cu organizaţii neguvernamentale, institute de cercetare şi alte organisme implicate</w:t>
            </w:r>
          </w:p>
          <w:p w14:paraId="36E07981" w14:textId="77777777" w:rsidR="00E150CD" w:rsidRPr="000234FE" w:rsidRDefault="00E150CD" w:rsidP="00F95710">
            <w:pPr>
              <w:jc w:val="both"/>
              <w:rPr>
                <w:bCs/>
              </w:rPr>
            </w:pPr>
            <w:r w:rsidRPr="000234FE">
              <w:rPr>
                <w:bCs/>
              </w:rPr>
              <w:t>Proiectul de act normativ nu se referă la acest subiect.</w:t>
            </w:r>
          </w:p>
          <w:p w14:paraId="2BABECC5" w14:textId="5AB3CE08" w:rsidR="00926ABC" w:rsidRPr="000234FE" w:rsidRDefault="00770E01" w:rsidP="00F95710">
            <w:pPr>
              <w:jc w:val="both"/>
              <w:rPr>
                <w:bCs/>
              </w:rPr>
            </w:pPr>
            <w:r w:rsidRPr="000234FE">
              <w:rPr>
                <w:bCs/>
              </w:rPr>
              <w:t>6.3. Informații despre consultările organizate cu autoritățile administrației publice locale</w:t>
            </w:r>
          </w:p>
          <w:p w14:paraId="672F36C1" w14:textId="77777777" w:rsidR="00E150CD" w:rsidRPr="000234FE" w:rsidRDefault="00E150CD" w:rsidP="00F95710">
            <w:pPr>
              <w:jc w:val="both"/>
              <w:rPr>
                <w:bCs/>
              </w:rPr>
            </w:pPr>
            <w:r w:rsidRPr="000234FE">
              <w:rPr>
                <w:bCs/>
              </w:rPr>
              <w:t>Proiectul de act normativ nu se referă la acest subiect.</w:t>
            </w:r>
          </w:p>
          <w:p w14:paraId="53F02791" w14:textId="4D7D9E50" w:rsidR="00770E01" w:rsidRPr="000234FE" w:rsidRDefault="00770E01" w:rsidP="00F95710">
            <w:pPr>
              <w:jc w:val="both"/>
              <w:rPr>
                <w:bCs/>
              </w:rPr>
            </w:pPr>
            <w:r w:rsidRPr="000234FE">
              <w:rPr>
                <w:bCs/>
              </w:rPr>
              <w:t>6.4. Informații privind puncte de vedere/opinii emise de organisme consulative constituite prin acte normative</w:t>
            </w:r>
          </w:p>
          <w:p w14:paraId="266032D5" w14:textId="77777777" w:rsidR="00E150CD" w:rsidRPr="000234FE" w:rsidRDefault="00E150CD" w:rsidP="00F95710">
            <w:pPr>
              <w:jc w:val="both"/>
              <w:rPr>
                <w:bCs/>
              </w:rPr>
            </w:pPr>
            <w:r w:rsidRPr="000234FE">
              <w:rPr>
                <w:bCs/>
              </w:rPr>
              <w:t>Proiectul de act normativ nu se referă la acest subiect.</w:t>
            </w:r>
          </w:p>
          <w:p w14:paraId="0FF572CC" w14:textId="1F7353BD" w:rsidR="00770E01" w:rsidRPr="000234FE" w:rsidRDefault="00770E01" w:rsidP="00F95710">
            <w:pPr>
              <w:jc w:val="both"/>
              <w:rPr>
                <w:bCs/>
              </w:rPr>
            </w:pPr>
            <w:r w:rsidRPr="000234FE">
              <w:rPr>
                <w:bCs/>
              </w:rPr>
              <w:t>6.5</w:t>
            </w:r>
            <w:r w:rsidR="004555DD" w:rsidRPr="000234FE">
              <w:rPr>
                <w:bCs/>
              </w:rPr>
              <w:t>.</w:t>
            </w:r>
            <w:r w:rsidRPr="000234FE">
              <w:rPr>
                <w:bCs/>
              </w:rPr>
              <w:t xml:space="preserve"> Informații privind avizarea de către:</w:t>
            </w:r>
          </w:p>
          <w:p w14:paraId="3DD2ED4C" w14:textId="434A7742" w:rsidR="00770E01" w:rsidRPr="000234FE" w:rsidRDefault="00770E01" w:rsidP="00F95710">
            <w:pPr>
              <w:jc w:val="both"/>
              <w:rPr>
                <w:bCs/>
              </w:rPr>
            </w:pPr>
            <w:r w:rsidRPr="000234FE">
              <w:rPr>
                <w:bCs/>
              </w:rPr>
              <w:t xml:space="preserve">a) Consiliul </w:t>
            </w:r>
            <w:r w:rsidR="008F6907" w:rsidRPr="000234FE">
              <w:rPr>
                <w:bCs/>
              </w:rPr>
              <w:t>L</w:t>
            </w:r>
            <w:r w:rsidRPr="000234FE">
              <w:rPr>
                <w:bCs/>
              </w:rPr>
              <w:t>egislativ</w:t>
            </w:r>
          </w:p>
          <w:p w14:paraId="5FE65553" w14:textId="15D2A101" w:rsidR="00770E01" w:rsidRPr="000234FE" w:rsidRDefault="00770E01" w:rsidP="00F95710">
            <w:pPr>
              <w:jc w:val="both"/>
              <w:rPr>
                <w:bCs/>
              </w:rPr>
            </w:pPr>
            <w:r w:rsidRPr="000234FE">
              <w:rPr>
                <w:bCs/>
              </w:rPr>
              <w:t>b)</w:t>
            </w:r>
            <w:r w:rsidR="00456611" w:rsidRPr="000234FE">
              <w:rPr>
                <w:bCs/>
              </w:rPr>
              <w:t xml:space="preserve"> </w:t>
            </w:r>
            <w:r w:rsidRPr="000234FE">
              <w:rPr>
                <w:bCs/>
              </w:rPr>
              <w:t>Consiliul Suprem de Apărare a Ţării</w:t>
            </w:r>
          </w:p>
          <w:p w14:paraId="22642D64" w14:textId="4C777137" w:rsidR="00770E01" w:rsidRPr="000234FE" w:rsidRDefault="00770E01" w:rsidP="00F95710">
            <w:pPr>
              <w:jc w:val="both"/>
              <w:rPr>
                <w:bCs/>
              </w:rPr>
            </w:pPr>
            <w:r w:rsidRPr="000234FE">
              <w:rPr>
                <w:bCs/>
              </w:rPr>
              <w:t>c)</w:t>
            </w:r>
            <w:r w:rsidR="00456611" w:rsidRPr="000234FE">
              <w:rPr>
                <w:bCs/>
              </w:rPr>
              <w:t xml:space="preserve"> </w:t>
            </w:r>
            <w:r w:rsidRPr="000234FE">
              <w:rPr>
                <w:bCs/>
              </w:rPr>
              <w:t>Consiliul Economic şi Social</w:t>
            </w:r>
          </w:p>
          <w:p w14:paraId="782E1FCE" w14:textId="1D3F1A42" w:rsidR="00770E01" w:rsidRPr="000234FE" w:rsidRDefault="00770E01" w:rsidP="00F95710">
            <w:pPr>
              <w:jc w:val="both"/>
              <w:rPr>
                <w:bCs/>
              </w:rPr>
            </w:pPr>
            <w:r w:rsidRPr="000234FE">
              <w:rPr>
                <w:bCs/>
              </w:rPr>
              <w:t>d)</w:t>
            </w:r>
            <w:r w:rsidR="00456611" w:rsidRPr="000234FE">
              <w:rPr>
                <w:bCs/>
              </w:rPr>
              <w:t xml:space="preserve"> </w:t>
            </w:r>
            <w:r w:rsidRPr="000234FE">
              <w:rPr>
                <w:bCs/>
              </w:rPr>
              <w:t xml:space="preserve">Consiliul Concurenţei </w:t>
            </w:r>
          </w:p>
          <w:p w14:paraId="7E62C2BF" w14:textId="0BD244B3" w:rsidR="00770E01" w:rsidRPr="000234FE" w:rsidRDefault="00770E01" w:rsidP="00F95710">
            <w:pPr>
              <w:jc w:val="both"/>
              <w:rPr>
                <w:bCs/>
              </w:rPr>
            </w:pPr>
            <w:r w:rsidRPr="000234FE">
              <w:rPr>
                <w:bCs/>
              </w:rPr>
              <w:t>e)</w:t>
            </w:r>
            <w:r w:rsidR="00456611" w:rsidRPr="000234FE">
              <w:rPr>
                <w:bCs/>
              </w:rPr>
              <w:t xml:space="preserve"> </w:t>
            </w:r>
            <w:r w:rsidRPr="000234FE">
              <w:rPr>
                <w:bCs/>
              </w:rPr>
              <w:t>Curtea de Conturi</w:t>
            </w:r>
          </w:p>
          <w:p w14:paraId="1CA22D51" w14:textId="14B14F4D" w:rsidR="00E150CD" w:rsidRPr="000234FE" w:rsidRDefault="00E150CD" w:rsidP="00F95710">
            <w:pPr>
              <w:jc w:val="both"/>
              <w:rPr>
                <w:bCs/>
              </w:rPr>
            </w:pPr>
            <w:r w:rsidRPr="000234FE">
              <w:rPr>
                <w:bCs/>
              </w:rPr>
              <w:t>Proiectul de act normativ a fost avizat de Consiliul Legislativ.</w:t>
            </w:r>
          </w:p>
          <w:p w14:paraId="356D5392" w14:textId="77777777" w:rsidR="00770E01" w:rsidRPr="000234FE" w:rsidRDefault="00770E01" w:rsidP="00F95710">
            <w:pPr>
              <w:jc w:val="both"/>
              <w:rPr>
                <w:bCs/>
              </w:rPr>
            </w:pPr>
            <w:r w:rsidRPr="000234FE">
              <w:rPr>
                <w:bCs/>
              </w:rPr>
              <w:t>6.6. Alte informații</w:t>
            </w:r>
          </w:p>
          <w:p w14:paraId="5FBE5C9F" w14:textId="7D838D3B" w:rsidR="00A91896" w:rsidRPr="000234FE" w:rsidRDefault="00FB6525" w:rsidP="00F95710">
            <w:pPr>
              <w:jc w:val="both"/>
              <w:rPr>
                <w:bCs/>
              </w:rPr>
            </w:pPr>
            <w:r w:rsidRPr="000234FE">
              <w:rPr>
                <w:bCs/>
              </w:rPr>
              <w:t>S-a solicitat punctul de vedere al Curții de Conturi a României, Autorității de Audit din cadrul Curții de Conturi a României.</w:t>
            </w:r>
          </w:p>
          <w:p w14:paraId="32E03757" w14:textId="6B612BA3" w:rsidR="00E150CD" w:rsidRPr="000234FE" w:rsidRDefault="00E150CD" w:rsidP="008838DB">
            <w:pPr>
              <w:spacing w:after="120"/>
              <w:jc w:val="both"/>
              <w:rPr>
                <w:bCs/>
              </w:rPr>
            </w:pPr>
          </w:p>
        </w:tc>
      </w:tr>
    </w:tbl>
    <w:p w14:paraId="448BA90A" w14:textId="77777777" w:rsidR="008A040A" w:rsidRPr="000234FE" w:rsidRDefault="008A040A" w:rsidP="00F95710">
      <w:pPr>
        <w:pStyle w:val="Indentcorptext2"/>
        <w:spacing w:before="0" w:after="0" w:line="240" w:lineRule="auto"/>
        <w:ind w:left="180" w:right="98" w:firstLine="540"/>
        <w:jc w:val="both"/>
        <w:rPr>
          <w:b w:val="0"/>
          <w:sz w:val="24"/>
        </w:rPr>
      </w:pPr>
    </w:p>
    <w:p w14:paraId="14F519C3" w14:textId="77777777" w:rsidR="008A040A" w:rsidRPr="000234FE" w:rsidRDefault="008A040A" w:rsidP="00F95710">
      <w:pPr>
        <w:pStyle w:val="Indentcorptext2"/>
        <w:spacing w:before="0" w:after="0" w:line="240" w:lineRule="auto"/>
        <w:ind w:left="180" w:right="98" w:firstLine="540"/>
        <w:jc w:val="both"/>
        <w:rPr>
          <w:b w:val="0"/>
          <w:sz w:val="24"/>
        </w:rPr>
      </w:pPr>
    </w:p>
    <w:p w14:paraId="3CEF84A9" w14:textId="77777777" w:rsidR="0038434F" w:rsidRPr="000234FE" w:rsidRDefault="0038434F" w:rsidP="00F95710">
      <w:pPr>
        <w:pStyle w:val="Indentcorptext2"/>
        <w:spacing w:before="0" w:after="0" w:line="240" w:lineRule="auto"/>
        <w:ind w:left="180" w:right="98" w:firstLine="540"/>
        <w:jc w:val="both"/>
        <w:rPr>
          <w:b w:val="0"/>
          <w:sz w:val="24"/>
        </w:rPr>
      </w:pPr>
    </w:p>
    <w:p w14:paraId="311858C9" w14:textId="7B606AD6" w:rsidR="00770E01" w:rsidRPr="00D224F3" w:rsidRDefault="00670C79" w:rsidP="00F95710">
      <w:pPr>
        <w:pStyle w:val="Indentcorptext2"/>
        <w:spacing w:before="0" w:after="0" w:line="240" w:lineRule="auto"/>
        <w:ind w:left="180" w:right="98" w:firstLine="540"/>
        <w:jc w:val="both"/>
        <w:rPr>
          <w:bCs w:val="0"/>
          <w:sz w:val="24"/>
        </w:rPr>
      </w:pPr>
      <w:r w:rsidRPr="00D224F3">
        <w:rPr>
          <w:bCs w:val="0"/>
          <w:sz w:val="24"/>
        </w:rPr>
        <w:t xml:space="preserve">Secţiunea a 7-a  </w:t>
      </w:r>
    </w:p>
    <w:p w14:paraId="45DA67B7" w14:textId="070DA24F" w:rsidR="00260E13" w:rsidRPr="00D224F3" w:rsidRDefault="00670C79" w:rsidP="00F95710">
      <w:pPr>
        <w:pStyle w:val="Indentcorptext2"/>
        <w:spacing w:before="0" w:after="0" w:line="240" w:lineRule="auto"/>
        <w:ind w:left="180" w:right="98" w:firstLine="540"/>
        <w:jc w:val="both"/>
        <w:rPr>
          <w:bCs w:val="0"/>
          <w:sz w:val="24"/>
        </w:rPr>
      </w:pPr>
      <w:r w:rsidRPr="00D224F3">
        <w:rPr>
          <w:bCs w:val="0"/>
          <w:sz w:val="24"/>
        </w:rPr>
        <w:t xml:space="preserve">Activităţi de informare publică privind elaborarea şi implementarea </w:t>
      </w:r>
      <w:bookmarkStart w:id="10" w:name="_Hlk100229941"/>
      <w:r w:rsidRPr="00D224F3">
        <w:rPr>
          <w:bCs w:val="0"/>
          <w:sz w:val="24"/>
        </w:rPr>
        <w:t>proiectului de act normativ</w:t>
      </w:r>
      <w:bookmarkEnd w:id="1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234FE" w14:paraId="416004E3" w14:textId="77777777" w:rsidTr="00634CAE">
        <w:tc>
          <w:tcPr>
            <w:tcW w:w="10533" w:type="dxa"/>
          </w:tcPr>
          <w:p w14:paraId="29554504" w14:textId="3E86BEBC" w:rsidR="00770E01" w:rsidRPr="000234FE" w:rsidRDefault="00770E01" w:rsidP="00F95710">
            <w:pPr>
              <w:jc w:val="both"/>
              <w:rPr>
                <w:bCs/>
              </w:rPr>
            </w:pPr>
            <w:r w:rsidRPr="000234FE">
              <w:rPr>
                <w:bCs/>
              </w:rPr>
              <w:t xml:space="preserve">7.1. </w:t>
            </w:r>
            <w:r w:rsidR="0053566B" w:rsidRPr="000234FE">
              <w:rPr>
                <w:bCs/>
              </w:rPr>
              <w:t>Informarea societăţii civile cu privire la elaborarea proiectului de act normativ</w:t>
            </w:r>
          </w:p>
          <w:p w14:paraId="237001B1" w14:textId="1B411FCD" w:rsidR="005F2D0F" w:rsidRPr="000234FE" w:rsidRDefault="00D66C8E" w:rsidP="00F95710">
            <w:pPr>
              <w:jc w:val="both"/>
              <w:rPr>
                <w:bCs/>
              </w:rPr>
            </w:pPr>
            <w:r w:rsidRPr="000234FE">
              <w:rPr>
                <w:bCs/>
              </w:rPr>
              <w:t xml:space="preserve">Prezentul proiect de act normativ se încadrează în prevederile art. 7 alin. (13) din Legea nr. 52/2003 privind transparența decizională în administrația publică, republicată, cu modificările ulterioare având în vedere necesitatea </w:t>
            </w:r>
            <w:r w:rsidR="0054094E" w:rsidRPr="000234FE">
              <w:rPr>
                <w:bCs/>
              </w:rPr>
              <w:t xml:space="preserve">decertificării definitive a sumei de </w:t>
            </w:r>
            <w:r w:rsidR="000D7DA4" w:rsidRPr="000234FE">
              <w:rPr>
                <w:bCs/>
              </w:rPr>
              <w:t>41.046.521,95</w:t>
            </w:r>
            <w:r w:rsidR="00411580" w:rsidRPr="000234FE">
              <w:rPr>
                <w:bCs/>
              </w:rPr>
              <w:t xml:space="preserve"> </w:t>
            </w:r>
            <w:r w:rsidR="0054094E" w:rsidRPr="000234FE">
              <w:rPr>
                <w:bCs/>
              </w:rPr>
              <w:t xml:space="preserve">euro </w:t>
            </w:r>
            <w:r w:rsidR="00A3486B" w:rsidRPr="000234FE">
              <w:rPr>
                <w:bCs/>
              </w:rPr>
              <w:t>pentru a se evita</w:t>
            </w:r>
            <w:r w:rsidRPr="000234FE">
              <w:rPr>
                <w:bCs/>
              </w:rPr>
              <w:t xml:space="preserve"> </w:t>
            </w:r>
            <w:r w:rsidR="00A3486B" w:rsidRPr="000234FE">
              <w:rPr>
                <w:bCs/>
              </w:rPr>
              <w:t xml:space="preserve">întreruperea termenelor de plată potrivit articolului 83 din Regulamentul (UE) nr. 1303/2013 sau suspendarea plăților potrivit articolului 142 din același regulament </w:t>
            </w:r>
            <w:r w:rsidR="00D32983" w:rsidRPr="000234FE">
              <w:rPr>
                <w:bCs/>
                <w:color w:val="202124"/>
              </w:rPr>
              <w:t xml:space="preserve">și/sau la aplicarea de corecții financiare de către CE, potrivit articolului 144 și 145 din </w:t>
            </w:r>
            <w:r w:rsidR="009033C3" w:rsidRPr="000234FE">
              <w:rPr>
                <w:bCs/>
                <w:color w:val="202124"/>
              </w:rPr>
              <w:t>regulamentul respectiv</w:t>
            </w:r>
            <w:r w:rsidR="00D862E6" w:rsidRPr="000234FE">
              <w:rPr>
                <w:bCs/>
                <w:color w:val="202124"/>
              </w:rPr>
              <w:t xml:space="preserve"> </w:t>
            </w:r>
            <w:r w:rsidRPr="000234FE">
              <w:rPr>
                <w:bCs/>
              </w:rPr>
              <w:t xml:space="preserve">și a fost publicat în dezbatere publică pe pagina de internet a Ministerului Investițiilor și Proiectelor Europene la data de </w:t>
            </w:r>
            <w:r w:rsidR="008634ED">
              <w:rPr>
                <w:bCs/>
              </w:rPr>
              <w:t>05.10.2023.</w:t>
            </w:r>
          </w:p>
          <w:p w14:paraId="3695E7F7" w14:textId="1BC63C99" w:rsidR="0053566B" w:rsidRPr="000234FE" w:rsidRDefault="0053566B" w:rsidP="00F95710">
            <w:pPr>
              <w:jc w:val="both"/>
              <w:rPr>
                <w:bCs/>
              </w:rPr>
            </w:pPr>
            <w:r w:rsidRPr="000234FE">
              <w:rPr>
                <w:bCs/>
              </w:rPr>
              <w:t>7.2. Informarea societăţii civile cu privire la e</w:t>
            </w:r>
            <w:r w:rsidR="008F6907" w:rsidRPr="000234FE">
              <w:rPr>
                <w:bCs/>
              </w:rPr>
              <w:t>v</w:t>
            </w:r>
            <w:r w:rsidRPr="000234FE">
              <w:rPr>
                <w:bCs/>
              </w:rPr>
              <w:t>entualul impact asupra mediului în urma implementării proiectului de act normativ, precum și efectele asupra sănătății și securității cetățenilor sau diversității biologice</w:t>
            </w:r>
          </w:p>
          <w:p w14:paraId="1F0F77DA" w14:textId="2F759780" w:rsidR="00E150CD" w:rsidRPr="000234FE" w:rsidRDefault="00E150CD" w:rsidP="00F95710">
            <w:pPr>
              <w:jc w:val="both"/>
              <w:rPr>
                <w:bCs/>
              </w:rPr>
            </w:pPr>
            <w:r w:rsidRPr="000234FE">
              <w:rPr>
                <w:bCs/>
              </w:rPr>
              <w:t>Proiectul de act normativ nu se referă la acest subiect.</w:t>
            </w:r>
          </w:p>
          <w:p w14:paraId="7F3DD081" w14:textId="77777777" w:rsidR="008F6907" w:rsidRPr="000234FE" w:rsidRDefault="008F6907" w:rsidP="00F95710">
            <w:pPr>
              <w:jc w:val="both"/>
              <w:rPr>
                <w:bCs/>
              </w:rPr>
            </w:pPr>
            <w:r w:rsidRPr="000234FE">
              <w:rPr>
                <w:bCs/>
              </w:rPr>
              <w:t>7.3. Alte informații</w:t>
            </w:r>
          </w:p>
          <w:p w14:paraId="6A2C5259" w14:textId="10AC185B" w:rsidR="00E150CD" w:rsidRPr="000234FE" w:rsidRDefault="00E150CD" w:rsidP="00F95710">
            <w:pPr>
              <w:jc w:val="both"/>
              <w:rPr>
                <w:bCs/>
              </w:rPr>
            </w:pPr>
            <w:r w:rsidRPr="000234FE">
              <w:rPr>
                <w:bCs/>
              </w:rPr>
              <w:t>Nu au fost identificate.</w:t>
            </w:r>
          </w:p>
        </w:tc>
      </w:tr>
    </w:tbl>
    <w:p w14:paraId="6DB7AF89" w14:textId="77777777" w:rsidR="00761EC5" w:rsidRPr="000234FE" w:rsidRDefault="00761EC5" w:rsidP="00F95710">
      <w:pPr>
        <w:ind w:left="180" w:firstLine="540"/>
        <w:rPr>
          <w:bCs/>
        </w:rPr>
      </w:pPr>
    </w:p>
    <w:p w14:paraId="341152AF" w14:textId="09B7DD76" w:rsidR="0053566B" w:rsidRPr="00D224F3" w:rsidRDefault="00670C79" w:rsidP="00F95710">
      <w:pPr>
        <w:ind w:left="180" w:firstLine="540"/>
        <w:rPr>
          <w:b/>
        </w:rPr>
      </w:pPr>
      <w:r w:rsidRPr="00D224F3">
        <w:rPr>
          <w:b/>
        </w:rPr>
        <w:t>Secţiunea a 8- a</w:t>
      </w:r>
      <w:r w:rsidR="002E20A6" w:rsidRPr="00D224F3">
        <w:rPr>
          <w:b/>
        </w:rPr>
        <w:t xml:space="preserve"> </w:t>
      </w:r>
      <w:r w:rsidRPr="00D224F3">
        <w:rPr>
          <w:b/>
        </w:rPr>
        <w:t xml:space="preserve"> </w:t>
      </w:r>
    </w:p>
    <w:p w14:paraId="3FBCA191" w14:textId="296A5F71" w:rsidR="00670C79" w:rsidRPr="00D224F3" w:rsidRDefault="00670C79" w:rsidP="00F95710">
      <w:pPr>
        <w:ind w:left="180" w:firstLine="540"/>
        <w:rPr>
          <w:b/>
        </w:rPr>
      </w:pPr>
      <w:r w:rsidRPr="00D224F3">
        <w:rPr>
          <w:b/>
        </w:rPr>
        <w:t xml:space="preserve">Măsuri </w:t>
      </w:r>
      <w:r w:rsidR="0053566B" w:rsidRPr="00D224F3">
        <w:rPr>
          <w:b/>
        </w:rPr>
        <w:t>privind</w:t>
      </w:r>
      <w:r w:rsidRPr="00D224F3">
        <w:rPr>
          <w:b/>
        </w:rPr>
        <w:t xml:space="preserve"> implementare</w:t>
      </w:r>
      <w:r w:rsidR="0053566B" w:rsidRPr="00D224F3">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0234FE" w14:paraId="554BFAFC" w14:textId="77777777" w:rsidTr="00435BC5">
        <w:tc>
          <w:tcPr>
            <w:tcW w:w="10553" w:type="dxa"/>
          </w:tcPr>
          <w:p w14:paraId="560280B7" w14:textId="452BF905" w:rsidR="0053566B" w:rsidRPr="000234FE" w:rsidRDefault="0053566B" w:rsidP="00F95710">
            <w:pPr>
              <w:pStyle w:val="Titlu1"/>
              <w:spacing w:line="240" w:lineRule="auto"/>
              <w:jc w:val="both"/>
              <w:rPr>
                <w:bCs/>
                <w:sz w:val="24"/>
              </w:rPr>
            </w:pPr>
            <w:r w:rsidRPr="000234FE">
              <w:rPr>
                <w:bCs/>
                <w:sz w:val="24"/>
              </w:rPr>
              <w:t>8.1. Măsuri de punere în aplicare a proiectului de act normativ</w:t>
            </w:r>
          </w:p>
          <w:p w14:paraId="44C22B56" w14:textId="77777777" w:rsidR="00E150CD" w:rsidRPr="000234FE" w:rsidRDefault="004555DD" w:rsidP="004C337E">
            <w:pPr>
              <w:rPr>
                <w:bCs/>
              </w:rPr>
            </w:pPr>
            <w:r w:rsidRPr="000234FE">
              <w:rPr>
                <w:bCs/>
              </w:rPr>
              <w:t xml:space="preserve">    </w:t>
            </w:r>
            <w:r w:rsidR="00E150CD" w:rsidRPr="000234FE">
              <w:rPr>
                <w:bCs/>
              </w:rPr>
              <w:t xml:space="preserve">Nu au fost identificate </w:t>
            </w:r>
          </w:p>
          <w:p w14:paraId="3181F99A" w14:textId="77777777" w:rsidR="0053566B" w:rsidRPr="000234FE" w:rsidRDefault="0053566B" w:rsidP="004C337E">
            <w:pPr>
              <w:rPr>
                <w:bCs/>
              </w:rPr>
            </w:pPr>
            <w:r w:rsidRPr="000234FE">
              <w:rPr>
                <w:bCs/>
              </w:rPr>
              <w:t>8.2. Alte informaţii</w:t>
            </w:r>
          </w:p>
          <w:p w14:paraId="3837F202" w14:textId="62516029" w:rsidR="00E150CD" w:rsidRPr="000234FE" w:rsidRDefault="00E150CD" w:rsidP="004C337E">
            <w:pPr>
              <w:rPr>
                <w:bCs/>
              </w:rPr>
            </w:pPr>
            <w:r w:rsidRPr="000234FE">
              <w:rPr>
                <w:bCs/>
              </w:rPr>
              <w:t>Nu au fost identificate</w:t>
            </w:r>
          </w:p>
        </w:tc>
      </w:tr>
    </w:tbl>
    <w:p w14:paraId="26D32633" w14:textId="77777777" w:rsidR="0038434F" w:rsidRPr="000234FE" w:rsidRDefault="0038434F" w:rsidP="0038434F">
      <w:pPr>
        <w:pStyle w:val="Indentcorptext"/>
        <w:ind w:left="0" w:right="119"/>
        <w:jc w:val="both"/>
        <w:rPr>
          <w:bCs/>
        </w:rPr>
      </w:pPr>
    </w:p>
    <w:p w14:paraId="068C6A6B" w14:textId="485CAFDA" w:rsidR="00D95A5E" w:rsidRPr="000234FE" w:rsidRDefault="00D95A5E" w:rsidP="0038434F">
      <w:pPr>
        <w:pStyle w:val="Indentcorptext"/>
        <w:ind w:left="0" w:right="119"/>
        <w:jc w:val="both"/>
        <w:rPr>
          <w:bCs/>
        </w:rPr>
      </w:pPr>
      <w:r w:rsidRPr="000234FE">
        <w:rPr>
          <w:bCs/>
        </w:rPr>
        <w:lastRenderedPageBreak/>
        <w:t xml:space="preserve">Față de cele prezentate mai sus, a fost elaborat proiectul de </w:t>
      </w:r>
      <w:r w:rsidR="00D66C8E" w:rsidRPr="00AB61ED">
        <w:rPr>
          <w:b/>
        </w:rPr>
        <w:t>H</w:t>
      </w:r>
      <w:r w:rsidRPr="00AB61ED">
        <w:rPr>
          <w:b/>
        </w:rPr>
        <w:t xml:space="preserve">otărâre a Guvernului </w:t>
      </w:r>
      <w:r w:rsidR="002471C0" w:rsidRPr="00AB61ED">
        <w:rPr>
          <w:b/>
        </w:rPr>
        <w:t>privind aprobarea decertificării definitive a unor cheltuieli aferente anului contabil 202</w:t>
      </w:r>
      <w:r w:rsidR="00D9468D" w:rsidRPr="00AB61ED">
        <w:rPr>
          <w:b/>
        </w:rPr>
        <w:t>1</w:t>
      </w:r>
      <w:r w:rsidR="002471C0" w:rsidRPr="00AB61ED">
        <w:rPr>
          <w:b/>
        </w:rPr>
        <w:t>-202</w:t>
      </w:r>
      <w:r w:rsidR="00D9468D" w:rsidRPr="00AB61ED">
        <w:rPr>
          <w:b/>
        </w:rPr>
        <w:t>2</w:t>
      </w:r>
      <w:r w:rsidR="002471C0" w:rsidRPr="000234FE">
        <w:rPr>
          <w:bCs/>
        </w:rPr>
        <w:t>, pentru proiectele finanțate prin Programul Operațional Capital Uman</w:t>
      </w:r>
      <w:r w:rsidRPr="000234FE">
        <w:rPr>
          <w:bCs/>
        </w:rPr>
        <w:t xml:space="preserve">, </w:t>
      </w:r>
      <w:r w:rsidR="004C337E" w:rsidRPr="000234FE">
        <w:rPr>
          <w:bCs/>
        </w:rPr>
        <w:t>care în forma prezentată, a fost avizat de Consiliul Legislativ, precum şi de către ministerele interesate şi pe care îl supunem adoptării</w:t>
      </w:r>
      <w:r w:rsidRPr="000234FE">
        <w:rPr>
          <w:bCs/>
        </w:rPr>
        <w:t>.</w:t>
      </w:r>
    </w:p>
    <w:p w14:paraId="53DB43F7" w14:textId="77777777" w:rsidR="00D95A5E" w:rsidRPr="000234FE" w:rsidRDefault="00D95A5E" w:rsidP="00D95A5E">
      <w:pPr>
        <w:pStyle w:val="Indentcorptext"/>
        <w:ind w:left="0" w:right="119" w:firstLine="388"/>
        <w:rPr>
          <w:bCs/>
        </w:rPr>
      </w:pPr>
    </w:p>
    <w:tbl>
      <w:tblPr>
        <w:tblW w:w="0" w:type="auto"/>
        <w:tblLook w:val="04A0" w:firstRow="1" w:lastRow="0" w:firstColumn="1" w:lastColumn="0" w:noHBand="0" w:noVBand="1"/>
      </w:tblPr>
      <w:tblGrid>
        <w:gridCol w:w="5387"/>
        <w:gridCol w:w="4912"/>
      </w:tblGrid>
      <w:tr w:rsidR="00D95A5E" w:rsidRPr="000234FE" w14:paraId="00E6DBBB" w14:textId="77777777" w:rsidTr="00041F4F">
        <w:tc>
          <w:tcPr>
            <w:tcW w:w="5387" w:type="dxa"/>
            <w:shd w:val="clear" w:color="auto" w:fill="auto"/>
          </w:tcPr>
          <w:p w14:paraId="1DCB4FCE" w14:textId="77777777" w:rsidR="00D95A5E" w:rsidRPr="000234FE" w:rsidRDefault="00D95A5E" w:rsidP="004E7E96">
            <w:pPr>
              <w:shd w:val="clear" w:color="auto" w:fill="FFFFFF"/>
              <w:ind w:right="-295"/>
              <w:jc w:val="center"/>
              <w:rPr>
                <w:bCs/>
                <w:noProof/>
              </w:rPr>
            </w:pPr>
            <w:r w:rsidRPr="000234FE">
              <w:rPr>
                <w:bCs/>
                <w:noProof/>
              </w:rPr>
              <w:t>MINISTRUL INVESTIȚIILOR ȘI PROIECTELOR EUROPENE</w:t>
            </w:r>
          </w:p>
          <w:p w14:paraId="1BC149BC" w14:textId="77777777" w:rsidR="00D95A5E" w:rsidRPr="000234FE" w:rsidRDefault="00D95A5E" w:rsidP="004E7E96">
            <w:pPr>
              <w:shd w:val="clear" w:color="auto" w:fill="FFFFFF"/>
              <w:ind w:right="-295"/>
              <w:jc w:val="center"/>
              <w:rPr>
                <w:bCs/>
                <w:noProof/>
              </w:rPr>
            </w:pPr>
          </w:p>
          <w:p w14:paraId="6136781A" w14:textId="77777777" w:rsidR="00D95A5E" w:rsidRPr="000234FE" w:rsidRDefault="00D95A5E" w:rsidP="004E7E96">
            <w:pPr>
              <w:shd w:val="clear" w:color="auto" w:fill="FFFFFF"/>
              <w:ind w:right="-295"/>
              <w:jc w:val="center"/>
              <w:rPr>
                <w:bCs/>
                <w:noProof/>
              </w:rPr>
            </w:pPr>
          </w:p>
          <w:p w14:paraId="01AA703D" w14:textId="54261D17" w:rsidR="00D95A5E" w:rsidRPr="000234FE" w:rsidRDefault="000D7DA4" w:rsidP="004E7E96">
            <w:pPr>
              <w:spacing w:line="360" w:lineRule="auto"/>
              <w:jc w:val="center"/>
              <w:rPr>
                <w:bCs/>
                <w:noProof/>
              </w:rPr>
            </w:pPr>
            <w:r w:rsidRPr="000234FE">
              <w:rPr>
                <w:bCs/>
              </w:rPr>
              <w:t xml:space="preserve"> ADRIAN CÂCIU</w:t>
            </w:r>
          </w:p>
        </w:tc>
        <w:tc>
          <w:tcPr>
            <w:tcW w:w="4912" w:type="dxa"/>
            <w:shd w:val="clear" w:color="auto" w:fill="auto"/>
          </w:tcPr>
          <w:p w14:paraId="02A09221" w14:textId="77777777" w:rsidR="00D95A5E" w:rsidRPr="000234FE" w:rsidRDefault="00D95A5E" w:rsidP="004E7E96">
            <w:pPr>
              <w:ind w:right="-295"/>
              <w:rPr>
                <w:bCs/>
              </w:rPr>
            </w:pPr>
            <w:r w:rsidRPr="000234FE">
              <w:rPr>
                <w:bCs/>
              </w:rPr>
              <w:t xml:space="preserve">           MINISTRUL FINANŢELOR </w:t>
            </w:r>
          </w:p>
          <w:p w14:paraId="6512B7C8" w14:textId="77777777" w:rsidR="00D95A5E" w:rsidRPr="000234FE" w:rsidRDefault="00D95A5E" w:rsidP="004E7E96">
            <w:pPr>
              <w:ind w:right="-295"/>
              <w:jc w:val="center"/>
              <w:rPr>
                <w:bCs/>
              </w:rPr>
            </w:pPr>
          </w:p>
          <w:p w14:paraId="1A21628C" w14:textId="77777777" w:rsidR="00D95A5E" w:rsidRPr="000234FE" w:rsidRDefault="00D95A5E" w:rsidP="004E7E96">
            <w:pPr>
              <w:ind w:right="-295"/>
              <w:jc w:val="center"/>
              <w:rPr>
                <w:bCs/>
              </w:rPr>
            </w:pPr>
          </w:p>
          <w:p w14:paraId="0DCE6077" w14:textId="77777777" w:rsidR="00D95A5E" w:rsidRPr="000234FE" w:rsidRDefault="00D95A5E" w:rsidP="004E7E96">
            <w:pPr>
              <w:ind w:right="-295"/>
              <w:jc w:val="center"/>
              <w:rPr>
                <w:bCs/>
              </w:rPr>
            </w:pPr>
          </w:p>
          <w:p w14:paraId="41577345" w14:textId="6520DAFE" w:rsidR="00D95A5E" w:rsidRPr="000234FE" w:rsidRDefault="00D95A5E" w:rsidP="00041F4F">
            <w:pPr>
              <w:pStyle w:val="Titlu2"/>
              <w:ind w:right="-21"/>
              <w:rPr>
                <w:bCs/>
                <w:sz w:val="24"/>
              </w:rPr>
            </w:pPr>
            <w:r w:rsidRPr="000234FE">
              <w:rPr>
                <w:bCs/>
                <w:sz w:val="24"/>
              </w:rPr>
              <w:t xml:space="preserve">    </w:t>
            </w:r>
            <w:r w:rsidR="00944FDF" w:rsidRPr="000234FE">
              <w:rPr>
                <w:bCs/>
                <w:sz w:val="24"/>
              </w:rPr>
              <w:t xml:space="preserve">          </w:t>
            </w:r>
            <w:r w:rsidR="000D7DA4" w:rsidRPr="000234FE">
              <w:rPr>
                <w:bCs/>
                <w:noProof/>
                <w:sz w:val="24"/>
              </w:rPr>
              <w:t>MARCEL - IOAN BOLOȘ</w:t>
            </w:r>
          </w:p>
          <w:p w14:paraId="52EE0731" w14:textId="77777777" w:rsidR="00D95A5E" w:rsidRPr="000234FE" w:rsidRDefault="00D95A5E" w:rsidP="004E7E96">
            <w:pPr>
              <w:rPr>
                <w:bCs/>
              </w:rPr>
            </w:pPr>
          </w:p>
          <w:p w14:paraId="1096B693" w14:textId="77777777" w:rsidR="00D95A5E" w:rsidRPr="000234FE" w:rsidRDefault="00D95A5E" w:rsidP="004E7E96">
            <w:pPr>
              <w:rPr>
                <w:bCs/>
              </w:rPr>
            </w:pPr>
          </w:p>
        </w:tc>
      </w:tr>
    </w:tbl>
    <w:p w14:paraId="33883C7F" w14:textId="77777777" w:rsidR="00D95A5E" w:rsidRPr="000234FE" w:rsidRDefault="00D95A5E" w:rsidP="00D95A5E">
      <w:pPr>
        <w:spacing w:line="360" w:lineRule="auto"/>
        <w:jc w:val="center"/>
        <w:rPr>
          <w:bCs/>
          <w:noProof/>
        </w:rPr>
      </w:pPr>
    </w:p>
    <w:p w14:paraId="0C85AA62" w14:textId="77777777" w:rsidR="00D95A5E" w:rsidRPr="000234FE" w:rsidRDefault="00D95A5E" w:rsidP="00D95A5E">
      <w:pPr>
        <w:spacing w:line="360" w:lineRule="auto"/>
        <w:jc w:val="center"/>
        <w:rPr>
          <w:bCs/>
          <w:noProof/>
        </w:rPr>
      </w:pPr>
    </w:p>
    <w:p w14:paraId="7EE63333" w14:textId="77777777" w:rsidR="00D95A5E" w:rsidRPr="000234FE" w:rsidRDefault="00D95A5E" w:rsidP="00D95A5E">
      <w:pPr>
        <w:shd w:val="clear" w:color="auto" w:fill="FFFFFF"/>
        <w:ind w:right="-295"/>
        <w:jc w:val="center"/>
        <w:rPr>
          <w:bCs/>
          <w:color w:val="000000"/>
          <w:spacing w:val="6"/>
          <w:u w:val="single"/>
        </w:rPr>
      </w:pPr>
      <w:r w:rsidRPr="000234FE">
        <w:rPr>
          <w:bCs/>
          <w:color w:val="000000"/>
          <w:spacing w:val="6"/>
          <w:u w:val="single"/>
        </w:rPr>
        <w:t>Avizăm favorabil:</w:t>
      </w:r>
    </w:p>
    <w:p w14:paraId="6047198F" w14:textId="77777777" w:rsidR="00D95A5E" w:rsidRPr="000234FE" w:rsidRDefault="00D95A5E" w:rsidP="00D95A5E">
      <w:pPr>
        <w:shd w:val="clear" w:color="auto" w:fill="FFFFFF"/>
        <w:ind w:right="-295"/>
        <w:jc w:val="center"/>
        <w:rPr>
          <w:bCs/>
          <w:color w:val="000000"/>
          <w:spacing w:val="6"/>
          <w:u w:val="single"/>
        </w:rPr>
      </w:pPr>
    </w:p>
    <w:p w14:paraId="21B287E5" w14:textId="77777777" w:rsidR="00D224F3" w:rsidRDefault="00D224F3" w:rsidP="00D224F3">
      <w:pPr>
        <w:shd w:val="clear" w:color="auto" w:fill="FFFFFF"/>
        <w:ind w:right="-295"/>
        <w:jc w:val="center"/>
        <w:rPr>
          <w:bCs/>
          <w:noProof/>
        </w:rPr>
      </w:pPr>
      <w:r>
        <w:rPr>
          <w:bCs/>
          <w:noProof/>
        </w:rPr>
        <w:t>VICEPRIM-MINISTRU</w:t>
      </w:r>
    </w:p>
    <w:p w14:paraId="591412BD" w14:textId="77777777" w:rsidR="00D224F3" w:rsidRDefault="00D224F3" w:rsidP="00D224F3">
      <w:pPr>
        <w:shd w:val="clear" w:color="auto" w:fill="FFFFFF"/>
        <w:ind w:right="-295"/>
        <w:jc w:val="center"/>
        <w:rPr>
          <w:bCs/>
          <w:noProof/>
        </w:rPr>
      </w:pPr>
      <w:r>
        <w:rPr>
          <w:bCs/>
          <w:noProof/>
        </w:rPr>
        <w:t>Marian NEACȘU</w:t>
      </w:r>
    </w:p>
    <w:p w14:paraId="667BD3EA" w14:textId="77777777" w:rsidR="00D95A5E" w:rsidRDefault="00D95A5E" w:rsidP="00D95A5E">
      <w:pPr>
        <w:shd w:val="clear" w:color="auto" w:fill="FFFFFF"/>
        <w:ind w:right="-295"/>
        <w:jc w:val="center"/>
        <w:rPr>
          <w:bCs/>
          <w:noProof/>
        </w:rPr>
      </w:pPr>
    </w:p>
    <w:p w14:paraId="63B48675" w14:textId="77777777" w:rsidR="00D224F3" w:rsidRDefault="00D224F3" w:rsidP="00D95A5E">
      <w:pPr>
        <w:shd w:val="clear" w:color="auto" w:fill="FFFFFF"/>
        <w:ind w:right="-295"/>
        <w:jc w:val="center"/>
        <w:rPr>
          <w:bCs/>
          <w:noProof/>
        </w:rPr>
      </w:pPr>
    </w:p>
    <w:p w14:paraId="01AE2DE5" w14:textId="77777777" w:rsidR="00D224F3" w:rsidRPr="000234FE" w:rsidRDefault="00D224F3" w:rsidP="00D95A5E">
      <w:pPr>
        <w:shd w:val="clear" w:color="auto" w:fill="FFFFFF"/>
        <w:ind w:right="-295"/>
        <w:jc w:val="center"/>
        <w:rPr>
          <w:bCs/>
          <w:noProof/>
        </w:rPr>
      </w:pPr>
    </w:p>
    <w:p w14:paraId="377DB4B0" w14:textId="77777777" w:rsidR="00D95A5E" w:rsidRPr="000234FE" w:rsidRDefault="00D95A5E" w:rsidP="00D95A5E">
      <w:pPr>
        <w:shd w:val="clear" w:color="auto" w:fill="FFFFFF"/>
        <w:ind w:right="-295"/>
        <w:jc w:val="center"/>
        <w:rPr>
          <w:bCs/>
          <w:noProof/>
        </w:rPr>
      </w:pPr>
    </w:p>
    <w:p w14:paraId="6C89A75D" w14:textId="77777777" w:rsidR="00D95A5E" w:rsidRPr="000234FE" w:rsidRDefault="00D95A5E" w:rsidP="00041F4F">
      <w:pPr>
        <w:ind w:right="48"/>
        <w:jc w:val="center"/>
        <w:rPr>
          <w:bCs/>
          <w:noProof/>
        </w:rPr>
      </w:pPr>
      <w:r w:rsidRPr="000234FE">
        <w:rPr>
          <w:bCs/>
          <w:noProof/>
        </w:rPr>
        <w:t>MINISTRUL JUSTIŢIEI</w:t>
      </w:r>
    </w:p>
    <w:p w14:paraId="77E69C68" w14:textId="4712049D" w:rsidR="00D95A5E" w:rsidRPr="000234FE" w:rsidRDefault="000D7DA4" w:rsidP="00D95A5E">
      <w:pPr>
        <w:spacing w:line="360" w:lineRule="auto"/>
        <w:jc w:val="center"/>
        <w:rPr>
          <w:bCs/>
          <w:noProof/>
        </w:rPr>
      </w:pPr>
      <w:r w:rsidRPr="000234FE">
        <w:rPr>
          <w:bCs/>
          <w:noProof/>
        </w:rPr>
        <w:t>ALINA – ȘTEFANIA GORGHIU</w:t>
      </w:r>
    </w:p>
    <w:p w14:paraId="650B4B46" w14:textId="77777777" w:rsidR="00D95A5E" w:rsidRPr="000234FE" w:rsidRDefault="00D95A5E" w:rsidP="00D95A5E">
      <w:pPr>
        <w:rPr>
          <w:bCs/>
        </w:rPr>
      </w:pPr>
    </w:p>
    <w:p w14:paraId="7D53A241" w14:textId="77777777" w:rsidR="00D95A5E" w:rsidRPr="000234FE" w:rsidRDefault="00D95A5E" w:rsidP="00D95A5E">
      <w:pPr>
        <w:rPr>
          <w:bCs/>
        </w:rPr>
      </w:pPr>
    </w:p>
    <w:p w14:paraId="0C84920D" w14:textId="77777777" w:rsidR="00D95A5E" w:rsidRPr="000234FE" w:rsidRDefault="00D95A5E" w:rsidP="00D95A5E">
      <w:pPr>
        <w:rPr>
          <w:bCs/>
        </w:rPr>
      </w:pPr>
    </w:p>
    <w:p w14:paraId="54E3A8B4" w14:textId="77777777" w:rsidR="00D95A5E" w:rsidRPr="000234FE" w:rsidRDefault="00D95A5E" w:rsidP="00D95A5E">
      <w:pPr>
        <w:rPr>
          <w:bCs/>
        </w:rPr>
      </w:pPr>
    </w:p>
    <w:p w14:paraId="3CCBF322" w14:textId="77777777" w:rsidR="00D95A5E" w:rsidRPr="000234FE" w:rsidRDefault="00D95A5E" w:rsidP="00D95A5E">
      <w:pPr>
        <w:rPr>
          <w:bCs/>
        </w:rPr>
      </w:pPr>
    </w:p>
    <w:p w14:paraId="773B2ED9" w14:textId="3CF6D26B" w:rsidR="00D95A5E" w:rsidRPr="000234FE" w:rsidRDefault="00D95A5E" w:rsidP="00D95A5E">
      <w:pPr>
        <w:rPr>
          <w:bCs/>
        </w:rPr>
      </w:pPr>
    </w:p>
    <w:p w14:paraId="63F32F08" w14:textId="03602FC9" w:rsidR="00D95A5E" w:rsidRPr="000234FE" w:rsidRDefault="00D95A5E" w:rsidP="00D95A5E">
      <w:pPr>
        <w:rPr>
          <w:bCs/>
        </w:rPr>
      </w:pPr>
    </w:p>
    <w:p w14:paraId="552A41CF" w14:textId="77777777" w:rsidR="00332135" w:rsidRPr="000234FE" w:rsidRDefault="00332135" w:rsidP="00D95A5E">
      <w:pPr>
        <w:rPr>
          <w:bCs/>
        </w:rPr>
      </w:pPr>
    </w:p>
    <w:p w14:paraId="0CDD9653" w14:textId="77777777" w:rsidR="00332135" w:rsidRPr="000234FE" w:rsidRDefault="00332135" w:rsidP="00D95A5E">
      <w:pPr>
        <w:rPr>
          <w:bCs/>
        </w:rPr>
      </w:pPr>
    </w:p>
    <w:p w14:paraId="4B4562BF" w14:textId="77777777" w:rsidR="00332135" w:rsidRPr="000234FE" w:rsidRDefault="00332135" w:rsidP="00D95A5E">
      <w:pPr>
        <w:rPr>
          <w:bCs/>
        </w:rPr>
      </w:pPr>
    </w:p>
    <w:p w14:paraId="10133F37" w14:textId="77777777" w:rsidR="00332135" w:rsidRPr="000234FE" w:rsidRDefault="00332135" w:rsidP="00D95A5E">
      <w:pPr>
        <w:rPr>
          <w:bCs/>
        </w:rPr>
      </w:pPr>
    </w:p>
    <w:p w14:paraId="6216EA12" w14:textId="77777777" w:rsidR="00332135" w:rsidRPr="000234FE" w:rsidRDefault="00332135" w:rsidP="00D95A5E">
      <w:pPr>
        <w:rPr>
          <w:bCs/>
        </w:rPr>
      </w:pPr>
    </w:p>
    <w:p w14:paraId="484AF73B" w14:textId="77777777" w:rsidR="00332135" w:rsidRPr="000234FE" w:rsidRDefault="00332135" w:rsidP="00D95A5E">
      <w:pPr>
        <w:rPr>
          <w:bCs/>
        </w:rPr>
      </w:pPr>
    </w:p>
    <w:p w14:paraId="0EE885EF" w14:textId="77777777" w:rsidR="00332135" w:rsidRPr="000234FE" w:rsidRDefault="00332135" w:rsidP="00D95A5E">
      <w:pPr>
        <w:rPr>
          <w:bCs/>
        </w:rPr>
      </w:pPr>
    </w:p>
    <w:p w14:paraId="475150D2" w14:textId="77777777" w:rsidR="00332135" w:rsidRPr="000234FE" w:rsidRDefault="00332135" w:rsidP="00D95A5E">
      <w:pPr>
        <w:rPr>
          <w:bCs/>
        </w:rPr>
      </w:pPr>
    </w:p>
    <w:p w14:paraId="43C9AE79" w14:textId="77777777" w:rsidR="00332135" w:rsidRPr="000234FE" w:rsidRDefault="00332135" w:rsidP="00D95A5E">
      <w:pPr>
        <w:rPr>
          <w:bCs/>
        </w:rPr>
      </w:pPr>
    </w:p>
    <w:p w14:paraId="7F3933E2" w14:textId="77777777" w:rsidR="00332135" w:rsidRPr="000234FE" w:rsidRDefault="00332135" w:rsidP="00D95A5E">
      <w:pPr>
        <w:rPr>
          <w:bCs/>
        </w:rPr>
      </w:pPr>
    </w:p>
    <w:p w14:paraId="19250FCC" w14:textId="77777777" w:rsidR="00332135" w:rsidRPr="000234FE" w:rsidRDefault="00332135" w:rsidP="00D95A5E">
      <w:pPr>
        <w:rPr>
          <w:bCs/>
        </w:rPr>
      </w:pPr>
    </w:p>
    <w:p w14:paraId="315F0300" w14:textId="77777777" w:rsidR="00332135" w:rsidRPr="000234FE" w:rsidRDefault="00332135" w:rsidP="00D95A5E">
      <w:pPr>
        <w:rPr>
          <w:bCs/>
        </w:rPr>
      </w:pPr>
    </w:p>
    <w:p w14:paraId="7CFDD85A" w14:textId="77777777" w:rsidR="00332135" w:rsidRPr="000234FE" w:rsidRDefault="00332135" w:rsidP="00D95A5E">
      <w:pPr>
        <w:rPr>
          <w:bCs/>
        </w:rPr>
      </w:pPr>
    </w:p>
    <w:p w14:paraId="14E05A08" w14:textId="77777777" w:rsidR="00332135" w:rsidRPr="000234FE" w:rsidRDefault="00332135" w:rsidP="00D95A5E">
      <w:pPr>
        <w:rPr>
          <w:bCs/>
        </w:rPr>
      </w:pPr>
    </w:p>
    <w:p w14:paraId="2F79B005" w14:textId="77777777" w:rsidR="00332135" w:rsidRPr="000234FE" w:rsidRDefault="00332135" w:rsidP="00D95A5E">
      <w:pPr>
        <w:rPr>
          <w:bCs/>
        </w:rPr>
      </w:pPr>
    </w:p>
    <w:p w14:paraId="22108EB1" w14:textId="77777777" w:rsidR="005D35C6" w:rsidRPr="000234FE" w:rsidRDefault="005D35C6" w:rsidP="00D95A5E">
      <w:pPr>
        <w:rPr>
          <w:bCs/>
        </w:rPr>
      </w:pPr>
    </w:p>
    <w:sectPr w:rsidR="005D35C6" w:rsidRPr="000234FE" w:rsidSect="008A040A">
      <w:footerReference w:type="even" r:id="rId8"/>
      <w:footerReference w:type="default" r:id="rId9"/>
      <w:pgSz w:w="12240" w:h="15840"/>
      <w:pgMar w:top="737" w:right="851" w:bottom="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2434B" w14:textId="77777777" w:rsidR="009F77CD" w:rsidRDefault="009F77CD">
      <w:r>
        <w:separator/>
      </w:r>
    </w:p>
  </w:endnote>
  <w:endnote w:type="continuationSeparator" w:id="0">
    <w:p w14:paraId="28E94EA3" w14:textId="77777777" w:rsidR="009F77CD" w:rsidRDefault="009F7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393DBA19" w:rsidR="00EF5F4A" w:rsidRDefault="00670C79" w:rsidP="00AC7A3E">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48089C">
      <w:rPr>
        <w:rStyle w:val="Numrdepagin"/>
        <w:noProof/>
      </w:rPr>
      <w:t>5</w:t>
    </w:r>
    <w:r>
      <w:rPr>
        <w:rStyle w:val="Numrdepagin"/>
      </w:rPr>
      <w:fldChar w:fldCharType="end"/>
    </w:r>
  </w:p>
  <w:p w14:paraId="70733C72" w14:textId="77777777" w:rsidR="00EF5F4A" w:rsidRDefault="00EF5F4A" w:rsidP="001C5815">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F5F4A" w:rsidRDefault="00EF5F4A" w:rsidP="001C5815">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EA79E" w14:textId="77777777" w:rsidR="009F77CD" w:rsidRDefault="009F77CD">
      <w:r>
        <w:separator/>
      </w:r>
    </w:p>
  </w:footnote>
  <w:footnote w:type="continuationSeparator" w:id="0">
    <w:p w14:paraId="3326888E" w14:textId="77777777" w:rsidR="009F77CD" w:rsidRDefault="009F7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1443DC2"/>
    <w:multiLevelType w:val="hybridMultilevel"/>
    <w:tmpl w:val="F912E7A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B23767E"/>
    <w:multiLevelType w:val="hybridMultilevel"/>
    <w:tmpl w:val="08C832E0"/>
    <w:lvl w:ilvl="0" w:tplc="96EED4C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DD533B"/>
    <w:multiLevelType w:val="hybridMultilevel"/>
    <w:tmpl w:val="6FF46C80"/>
    <w:lvl w:ilvl="0" w:tplc="96EED4C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CC3EFF"/>
    <w:multiLevelType w:val="hybridMultilevel"/>
    <w:tmpl w:val="F9F834BC"/>
    <w:lvl w:ilvl="0" w:tplc="96EED4CA">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6" w15:restartNumberingAfterBreak="0">
    <w:nsid w:val="7FC04526"/>
    <w:multiLevelType w:val="hybridMultilevel"/>
    <w:tmpl w:val="CEBEC686"/>
    <w:lvl w:ilvl="0" w:tplc="9D86B798">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99493333">
    <w:abstractNumId w:val="0"/>
  </w:num>
  <w:num w:numId="2" w16cid:durableId="1207982473">
    <w:abstractNumId w:val="15"/>
  </w:num>
  <w:num w:numId="3" w16cid:durableId="1438328577">
    <w:abstractNumId w:val="12"/>
  </w:num>
  <w:num w:numId="4" w16cid:durableId="494341436">
    <w:abstractNumId w:val="1"/>
  </w:num>
  <w:num w:numId="5" w16cid:durableId="537207806">
    <w:abstractNumId w:val="6"/>
  </w:num>
  <w:num w:numId="6" w16cid:durableId="1294562331">
    <w:abstractNumId w:val="14"/>
  </w:num>
  <w:num w:numId="7" w16cid:durableId="459685184">
    <w:abstractNumId w:val="4"/>
  </w:num>
  <w:num w:numId="8" w16cid:durableId="13298708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494670">
    <w:abstractNumId w:val="13"/>
  </w:num>
  <w:num w:numId="10" w16cid:durableId="1135685945">
    <w:abstractNumId w:val="11"/>
  </w:num>
  <w:num w:numId="11" w16cid:durableId="889341902">
    <w:abstractNumId w:val="7"/>
  </w:num>
  <w:num w:numId="12" w16cid:durableId="1489518899">
    <w:abstractNumId w:val="3"/>
  </w:num>
  <w:num w:numId="13" w16cid:durableId="1638100207">
    <w:abstractNumId w:val="2"/>
  </w:num>
  <w:num w:numId="14" w16cid:durableId="940182917">
    <w:abstractNumId w:val="10"/>
  </w:num>
  <w:num w:numId="15" w16cid:durableId="1317690556">
    <w:abstractNumId w:val="5"/>
  </w:num>
  <w:num w:numId="16" w16cid:durableId="175317247">
    <w:abstractNumId w:val="16"/>
  </w:num>
  <w:num w:numId="17" w16cid:durableId="877085865">
    <w:abstractNumId w:val="9"/>
  </w:num>
  <w:num w:numId="18" w16cid:durableId="18104374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55D5"/>
    <w:rsid w:val="000160F3"/>
    <w:rsid w:val="00017D04"/>
    <w:rsid w:val="0002299E"/>
    <w:rsid w:val="000234FE"/>
    <w:rsid w:val="00024F37"/>
    <w:rsid w:val="00025015"/>
    <w:rsid w:val="000260DD"/>
    <w:rsid w:val="000265F7"/>
    <w:rsid w:val="00026B13"/>
    <w:rsid w:val="00027469"/>
    <w:rsid w:val="00031D8D"/>
    <w:rsid w:val="0003205B"/>
    <w:rsid w:val="00035D17"/>
    <w:rsid w:val="000369EF"/>
    <w:rsid w:val="00040B7B"/>
    <w:rsid w:val="00041F4F"/>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703BB"/>
    <w:rsid w:val="00070830"/>
    <w:rsid w:val="000724BE"/>
    <w:rsid w:val="00073195"/>
    <w:rsid w:val="000733D3"/>
    <w:rsid w:val="0007609F"/>
    <w:rsid w:val="00076C55"/>
    <w:rsid w:val="000808EE"/>
    <w:rsid w:val="00081475"/>
    <w:rsid w:val="00083DB6"/>
    <w:rsid w:val="00083EAF"/>
    <w:rsid w:val="00084EE5"/>
    <w:rsid w:val="00084F56"/>
    <w:rsid w:val="00085904"/>
    <w:rsid w:val="00086114"/>
    <w:rsid w:val="00087383"/>
    <w:rsid w:val="00087567"/>
    <w:rsid w:val="00087C48"/>
    <w:rsid w:val="00090676"/>
    <w:rsid w:val="0009222E"/>
    <w:rsid w:val="00092376"/>
    <w:rsid w:val="0009320D"/>
    <w:rsid w:val="00094481"/>
    <w:rsid w:val="000949D2"/>
    <w:rsid w:val="00094AE3"/>
    <w:rsid w:val="00095300"/>
    <w:rsid w:val="0009621B"/>
    <w:rsid w:val="000A06E8"/>
    <w:rsid w:val="000A437E"/>
    <w:rsid w:val="000A6298"/>
    <w:rsid w:val="000A71F1"/>
    <w:rsid w:val="000B036B"/>
    <w:rsid w:val="000B1818"/>
    <w:rsid w:val="000B391A"/>
    <w:rsid w:val="000B3D76"/>
    <w:rsid w:val="000B4945"/>
    <w:rsid w:val="000B55D8"/>
    <w:rsid w:val="000B650E"/>
    <w:rsid w:val="000B665D"/>
    <w:rsid w:val="000B7506"/>
    <w:rsid w:val="000B753E"/>
    <w:rsid w:val="000C233D"/>
    <w:rsid w:val="000C3277"/>
    <w:rsid w:val="000C3586"/>
    <w:rsid w:val="000C3625"/>
    <w:rsid w:val="000C3F89"/>
    <w:rsid w:val="000C4A4F"/>
    <w:rsid w:val="000C54A4"/>
    <w:rsid w:val="000C614B"/>
    <w:rsid w:val="000C687D"/>
    <w:rsid w:val="000C7D63"/>
    <w:rsid w:val="000C7EAF"/>
    <w:rsid w:val="000C7EEC"/>
    <w:rsid w:val="000D0889"/>
    <w:rsid w:val="000D21F9"/>
    <w:rsid w:val="000D23B9"/>
    <w:rsid w:val="000D2B20"/>
    <w:rsid w:val="000D315E"/>
    <w:rsid w:val="000D403B"/>
    <w:rsid w:val="000D4132"/>
    <w:rsid w:val="000D4C09"/>
    <w:rsid w:val="000D7DA4"/>
    <w:rsid w:val="000E0EA4"/>
    <w:rsid w:val="000E2C2D"/>
    <w:rsid w:val="000E3A58"/>
    <w:rsid w:val="000E6FCF"/>
    <w:rsid w:val="000E74F5"/>
    <w:rsid w:val="000F26C2"/>
    <w:rsid w:val="000F40EF"/>
    <w:rsid w:val="000F6105"/>
    <w:rsid w:val="000F7896"/>
    <w:rsid w:val="00100251"/>
    <w:rsid w:val="00101A9B"/>
    <w:rsid w:val="001023B0"/>
    <w:rsid w:val="0010482B"/>
    <w:rsid w:val="00105808"/>
    <w:rsid w:val="001067AA"/>
    <w:rsid w:val="00106DAC"/>
    <w:rsid w:val="00106FB3"/>
    <w:rsid w:val="00106FE8"/>
    <w:rsid w:val="00107736"/>
    <w:rsid w:val="00107740"/>
    <w:rsid w:val="001077E3"/>
    <w:rsid w:val="00107E28"/>
    <w:rsid w:val="001110C2"/>
    <w:rsid w:val="00112E9E"/>
    <w:rsid w:val="001147BA"/>
    <w:rsid w:val="0011501B"/>
    <w:rsid w:val="00115083"/>
    <w:rsid w:val="00115131"/>
    <w:rsid w:val="0012106A"/>
    <w:rsid w:val="00121CCC"/>
    <w:rsid w:val="00123240"/>
    <w:rsid w:val="001250F7"/>
    <w:rsid w:val="00125245"/>
    <w:rsid w:val="00126BBF"/>
    <w:rsid w:val="001270A2"/>
    <w:rsid w:val="00130ADF"/>
    <w:rsid w:val="00131281"/>
    <w:rsid w:val="001313D8"/>
    <w:rsid w:val="0013201F"/>
    <w:rsid w:val="0013230E"/>
    <w:rsid w:val="00133A3B"/>
    <w:rsid w:val="00135DB9"/>
    <w:rsid w:val="0013619D"/>
    <w:rsid w:val="0013676D"/>
    <w:rsid w:val="00137A13"/>
    <w:rsid w:val="00137D1E"/>
    <w:rsid w:val="001459BC"/>
    <w:rsid w:val="0014608E"/>
    <w:rsid w:val="0014728C"/>
    <w:rsid w:val="001500EA"/>
    <w:rsid w:val="00152085"/>
    <w:rsid w:val="001528E8"/>
    <w:rsid w:val="00153B2A"/>
    <w:rsid w:val="0015446A"/>
    <w:rsid w:val="001544DC"/>
    <w:rsid w:val="0015762E"/>
    <w:rsid w:val="00157B5B"/>
    <w:rsid w:val="00160148"/>
    <w:rsid w:val="00161A61"/>
    <w:rsid w:val="0016469A"/>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1323"/>
    <w:rsid w:val="0018173D"/>
    <w:rsid w:val="00181DB6"/>
    <w:rsid w:val="0019189C"/>
    <w:rsid w:val="001919CC"/>
    <w:rsid w:val="0019387C"/>
    <w:rsid w:val="001945C9"/>
    <w:rsid w:val="00197033"/>
    <w:rsid w:val="001A0854"/>
    <w:rsid w:val="001A0AEA"/>
    <w:rsid w:val="001A1AA3"/>
    <w:rsid w:val="001A1AE5"/>
    <w:rsid w:val="001A1D31"/>
    <w:rsid w:val="001A2A6E"/>
    <w:rsid w:val="001A374F"/>
    <w:rsid w:val="001A4420"/>
    <w:rsid w:val="001A459B"/>
    <w:rsid w:val="001A78A0"/>
    <w:rsid w:val="001A7C31"/>
    <w:rsid w:val="001B1912"/>
    <w:rsid w:val="001B1AD6"/>
    <w:rsid w:val="001B22D1"/>
    <w:rsid w:val="001B23D0"/>
    <w:rsid w:val="001B2B36"/>
    <w:rsid w:val="001B3B27"/>
    <w:rsid w:val="001B4FE1"/>
    <w:rsid w:val="001B5222"/>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368D"/>
    <w:rsid w:val="001E38E8"/>
    <w:rsid w:val="001E5470"/>
    <w:rsid w:val="001E55B3"/>
    <w:rsid w:val="001E69E4"/>
    <w:rsid w:val="001E6A4B"/>
    <w:rsid w:val="001E708B"/>
    <w:rsid w:val="001E7255"/>
    <w:rsid w:val="001F14A2"/>
    <w:rsid w:val="001F1E7E"/>
    <w:rsid w:val="001F418F"/>
    <w:rsid w:val="001F5E09"/>
    <w:rsid w:val="001F6D5C"/>
    <w:rsid w:val="001F6D81"/>
    <w:rsid w:val="001F700D"/>
    <w:rsid w:val="001F7034"/>
    <w:rsid w:val="001F733F"/>
    <w:rsid w:val="00200720"/>
    <w:rsid w:val="00210E66"/>
    <w:rsid w:val="00210E9C"/>
    <w:rsid w:val="00211627"/>
    <w:rsid w:val="002116FE"/>
    <w:rsid w:val="00213877"/>
    <w:rsid w:val="00213BDB"/>
    <w:rsid w:val="002153E2"/>
    <w:rsid w:val="00216E86"/>
    <w:rsid w:val="00217238"/>
    <w:rsid w:val="00217BF3"/>
    <w:rsid w:val="00220BDB"/>
    <w:rsid w:val="00221987"/>
    <w:rsid w:val="00221B2B"/>
    <w:rsid w:val="00223491"/>
    <w:rsid w:val="00223AFB"/>
    <w:rsid w:val="00225653"/>
    <w:rsid w:val="00227A62"/>
    <w:rsid w:val="00230EAE"/>
    <w:rsid w:val="00231324"/>
    <w:rsid w:val="00231F26"/>
    <w:rsid w:val="00232ED4"/>
    <w:rsid w:val="0023360D"/>
    <w:rsid w:val="002337CA"/>
    <w:rsid w:val="00233A87"/>
    <w:rsid w:val="00233D1C"/>
    <w:rsid w:val="00233D49"/>
    <w:rsid w:val="0023404B"/>
    <w:rsid w:val="002348DD"/>
    <w:rsid w:val="00234AB0"/>
    <w:rsid w:val="00234B65"/>
    <w:rsid w:val="002354D3"/>
    <w:rsid w:val="002404DC"/>
    <w:rsid w:val="002404F7"/>
    <w:rsid w:val="00241D0D"/>
    <w:rsid w:val="00244CF8"/>
    <w:rsid w:val="002471C0"/>
    <w:rsid w:val="00250C5C"/>
    <w:rsid w:val="00251605"/>
    <w:rsid w:val="00256383"/>
    <w:rsid w:val="0025682E"/>
    <w:rsid w:val="00260E13"/>
    <w:rsid w:val="002623AD"/>
    <w:rsid w:val="00262462"/>
    <w:rsid w:val="0026264B"/>
    <w:rsid w:val="00262AAC"/>
    <w:rsid w:val="00262CFA"/>
    <w:rsid w:val="00267571"/>
    <w:rsid w:val="00271D4C"/>
    <w:rsid w:val="00272D53"/>
    <w:rsid w:val="0027308F"/>
    <w:rsid w:val="00275947"/>
    <w:rsid w:val="00275D3D"/>
    <w:rsid w:val="00276B03"/>
    <w:rsid w:val="0027750A"/>
    <w:rsid w:val="00280BAF"/>
    <w:rsid w:val="00282E65"/>
    <w:rsid w:val="00283DDB"/>
    <w:rsid w:val="00286173"/>
    <w:rsid w:val="00286541"/>
    <w:rsid w:val="002869DC"/>
    <w:rsid w:val="00286DEC"/>
    <w:rsid w:val="00294152"/>
    <w:rsid w:val="0029430E"/>
    <w:rsid w:val="00294D46"/>
    <w:rsid w:val="002A3164"/>
    <w:rsid w:val="002A409A"/>
    <w:rsid w:val="002A41C3"/>
    <w:rsid w:val="002A4A4D"/>
    <w:rsid w:val="002A7775"/>
    <w:rsid w:val="002A7B24"/>
    <w:rsid w:val="002B2155"/>
    <w:rsid w:val="002B28B0"/>
    <w:rsid w:val="002B54F8"/>
    <w:rsid w:val="002B583C"/>
    <w:rsid w:val="002B689E"/>
    <w:rsid w:val="002B7888"/>
    <w:rsid w:val="002B79C7"/>
    <w:rsid w:val="002C1018"/>
    <w:rsid w:val="002C122C"/>
    <w:rsid w:val="002C129E"/>
    <w:rsid w:val="002C1C7F"/>
    <w:rsid w:val="002C3361"/>
    <w:rsid w:val="002C37C4"/>
    <w:rsid w:val="002C4610"/>
    <w:rsid w:val="002C5396"/>
    <w:rsid w:val="002C6EEE"/>
    <w:rsid w:val="002C7F2B"/>
    <w:rsid w:val="002D2048"/>
    <w:rsid w:val="002D214D"/>
    <w:rsid w:val="002D3A08"/>
    <w:rsid w:val="002D3CFD"/>
    <w:rsid w:val="002D519D"/>
    <w:rsid w:val="002D63DE"/>
    <w:rsid w:val="002E0188"/>
    <w:rsid w:val="002E20A6"/>
    <w:rsid w:val="002E22BC"/>
    <w:rsid w:val="002E3919"/>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287"/>
    <w:rsid w:val="00300E1C"/>
    <w:rsid w:val="00302ADB"/>
    <w:rsid w:val="00302D6F"/>
    <w:rsid w:val="00302E3D"/>
    <w:rsid w:val="00302EF5"/>
    <w:rsid w:val="003034B1"/>
    <w:rsid w:val="00304361"/>
    <w:rsid w:val="00305061"/>
    <w:rsid w:val="0030581C"/>
    <w:rsid w:val="00305E5F"/>
    <w:rsid w:val="00306119"/>
    <w:rsid w:val="00310F95"/>
    <w:rsid w:val="003123F1"/>
    <w:rsid w:val="00312439"/>
    <w:rsid w:val="003127E6"/>
    <w:rsid w:val="00312E6E"/>
    <w:rsid w:val="00312FF3"/>
    <w:rsid w:val="003138A1"/>
    <w:rsid w:val="00315CB8"/>
    <w:rsid w:val="003179ED"/>
    <w:rsid w:val="00320940"/>
    <w:rsid w:val="00322480"/>
    <w:rsid w:val="00324260"/>
    <w:rsid w:val="00324785"/>
    <w:rsid w:val="00324938"/>
    <w:rsid w:val="00325BC3"/>
    <w:rsid w:val="003278FD"/>
    <w:rsid w:val="00330048"/>
    <w:rsid w:val="00332135"/>
    <w:rsid w:val="00332715"/>
    <w:rsid w:val="00332FEB"/>
    <w:rsid w:val="00333AB9"/>
    <w:rsid w:val="003357CA"/>
    <w:rsid w:val="00335C69"/>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5A86"/>
    <w:rsid w:val="00365DE7"/>
    <w:rsid w:val="003668CF"/>
    <w:rsid w:val="00367275"/>
    <w:rsid w:val="003713CF"/>
    <w:rsid w:val="0037559F"/>
    <w:rsid w:val="00375B28"/>
    <w:rsid w:val="0037675E"/>
    <w:rsid w:val="00377E94"/>
    <w:rsid w:val="00381090"/>
    <w:rsid w:val="00381CD7"/>
    <w:rsid w:val="0038434F"/>
    <w:rsid w:val="00385BC3"/>
    <w:rsid w:val="003864F6"/>
    <w:rsid w:val="00390E31"/>
    <w:rsid w:val="00391737"/>
    <w:rsid w:val="0039344D"/>
    <w:rsid w:val="00393638"/>
    <w:rsid w:val="00396A04"/>
    <w:rsid w:val="00397570"/>
    <w:rsid w:val="003A0EEE"/>
    <w:rsid w:val="003A3349"/>
    <w:rsid w:val="003A367D"/>
    <w:rsid w:val="003A405F"/>
    <w:rsid w:val="003A6253"/>
    <w:rsid w:val="003A6698"/>
    <w:rsid w:val="003A7570"/>
    <w:rsid w:val="003A7CA2"/>
    <w:rsid w:val="003A7CC0"/>
    <w:rsid w:val="003B02B3"/>
    <w:rsid w:val="003B0C77"/>
    <w:rsid w:val="003B2329"/>
    <w:rsid w:val="003B357D"/>
    <w:rsid w:val="003B3A2C"/>
    <w:rsid w:val="003B3F0B"/>
    <w:rsid w:val="003B424D"/>
    <w:rsid w:val="003B68CD"/>
    <w:rsid w:val="003B6E10"/>
    <w:rsid w:val="003C1670"/>
    <w:rsid w:val="003C19BF"/>
    <w:rsid w:val="003C4D24"/>
    <w:rsid w:val="003C56CF"/>
    <w:rsid w:val="003C6B82"/>
    <w:rsid w:val="003C6D3A"/>
    <w:rsid w:val="003D092D"/>
    <w:rsid w:val="003D4A34"/>
    <w:rsid w:val="003D6235"/>
    <w:rsid w:val="003E080A"/>
    <w:rsid w:val="003E0917"/>
    <w:rsid w:val="003E358F"/>
    <w:rsid w:val="003E5FF2"/>
    <w:rsid w:val="003F046A"/>
    <w:rsid w:val="003F10F8"/>
    <w:rsid w:val="003F4EA4"/>
    <w:rsid w:val="003F5CF6"/>
    <w:rsid w:val="003F6ACA"/>
    <w:rsid w:val="003F7AF4"/>
    <w:rsid w:val="0040003B"/>
    <w:rsid w:val="004005AC"/>
    <w:rsid w:val="004007BE"/>
    <w:rsid w:val="00402A15"/>
    <w:rsid w:val="0040434F"/>
    <w:rsid w:val="00405F21"/>
    <w:rsid w:val="00406B07"/>
    <w:rsid w:val="00406FBE"/>
    <w:rsid w:val="0041039C"/>
    <w:rsid w:val="00411580"/>
    <w:rsid w:val="00411C31"/>
    <w:rsid w:val="004162F1"/>
    <w:rsid w:val="0041739E"/>
    <w:rsid w:val="0042197D"/>
    <w:rsid w:val="004248D9"/>
    <w:rsid w:val="00425D30"/>
    <w:rsid w:val="00426482"/>
    <w:rsid w:val="004268A6"/>
    <w:rsid w:val="00427CE2"/>
    <w:rsid w:val="00430937"/>
    <w:rsid w:val="00434D7D"/>
    <w:rsid w:val="004353EE"/>
    <w:rsid w:val="00435F83"/>
    <w:rsid w:val="004362A6"/>
    <w:rsid w:val="00440136"/>
    <w:rsid w:val="0044348E"/>
    <w:rsid w:val="004449A8"/>
    <w:rsid w:val="00445067"/>
    <w:rsid w:val="00445A50"/>
    <w:rsid w:val="00446A81"/>
    <w:rsid w:val="00446B21"/>
    <w:rsid w:val="00446C51"/>
    <w:rsid w:val="004472F0"/>
    <w:rsid w:val="004516D9"/>
    <w:rsid w:val="00454D72"/>
    <w:rsid w:val="004555DD"/>
    <w:rsid w:val="00455719"/>
    <w:rsid w:val="004561E9"/>
    <w:rsid w:val="004562CD"/>
    <w:rsid w:val="0045656F"/>
    <w:rsid w:val="00456611"/>
    <w:rsid w:val="00460CE3"/>
    <w:rsid w:val="00461DC3"/>
    <w:rsid w:val="0046279C"/>
    <w:rsid w:val="00462C37"/>
    <w:rsid w:val="00463434"/>
    <w:rsid w:val="00463E98"/>
    <w:rsid w:val="00464AED"/>
    <w:rsid w:val="0046568A"/>
    <w:rsid w:val="00473382"/>
    <w:rsid w:val="00473DA2"/>
    <w:rsid w:val="00475C30"/>
    <w:rsid w:val="0047738F"/>
    <w:rsid w:val="00477DA1"/>
    <w:rsid w:val="004803F0"/>
    <w:rsid w:val="004806BE"/>
    <w:rsid w:val="0048089C"/>
    <w:rsid w:val="00481A82"/>
    <w:rsid w:val="00484579"/>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51FA"/>
    <w:rsid w:val="004B64A6"/>
    <w:rsid w:val="004B7202"/>
    <w:rsid w:val="004B7CAD"/>
    <w:rsid w:val="004C0503"/>
    <w:rsid w:val="004C07F9"/>
    <w:rsid w:val="004C103A"/>
    <w:rsid w:val="004C1092"/>
    <w:rsid w:val="004C1338"/>
    <w:rsid w:val="004C337E"/>
    <w:rsid w:val="004C5B80"/>
    <w:rsid w:val="004C7417"/>
    <w:rsid w:val="004C7B33"/>
    <w:rsid w:val="004D1B68"/>
    <w:rsid w:val="004D1FC0"/>
    <w:rsid w:val="004D210B"/>
    <w:rsid w:val="004D24D3"/>
    <w:rsid w:val="004D279E"/>
    <w:rsid w:val="004D27EE"/>
    <w:rsid w:val="004D5BA3"/>
    <w:rsid w:val="004D6ABC"/>
    <w:rsid w:val="004E1034"/>
    <w:rsid w:val="004E13AF"/>
    <w:rsid w:val="004E2CA0"/>
    <w:rsid w:val="004E40FD"/>
    <w:rsid w:val="004E789F"/>
    <w:rsid w:val="004E7F22"/>
    <w:rsid w:val="004F0E4B"/>
    <w:rsid w:val="004F1FFD"/>
    <w:rsid w:val="004F3C70"/>
    <w:rsid w:val="004F49AA"/>
    <w:rsid w:val="004F521A"/>
    <w:rsid w:val="004F551E"/>
    <w:rsid w:val="005005B8"/>
    <w:rsid w:val="0050109F"/>
    <w:rsid w:val="00505AF3"/>
    <w:rsid w:val="005066F6"/>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3566B"/>
    <w:rsid w:val="00540381"/>
    <w:rsid w:val="0054094E"/>
    <w:rsid w:val="00541361"/>
    <w:rsid w:val="00542411"/>
    <w:rsid w:val="00543A0A"/>
    <w:rsid w:val="005440C2"/>
    <w:rsid w:val="005444AB"/>
    <w:rsid w:val="00546B5F"/>
    <w:rsid w:val="005514F5"/>
    <w:rsid w:val="00552EB0"/>
    <w:rsid w:val="00554716"/>
    <w:rsid w:val="00555D3D"/>
    <w:rsid w:val="00561803"/>
    <w:rsid w:val="00562652"/>
    <w:rsid w:val="0056358F"/>
    <w:rsid w:val="005649C0"/>
    <w:rsid w:val="00565752"/>
    <w:rsid w:val="00566969"/>
    <w:rsid w:val="00566EBF"/>
    <w:rsid w:val="00571569"/>
    <w:rsid w:val="00575BCE"/>
    <w:rsid w:val="0057730A"/>
    <w:rsid w:val="00577623"/>
    <w:rsid w:val="0058155C"/>
    <w:rsid w:val="00582047"/>
    <w:rsid w:val="00582112"/>
    <w:rsid w:val="00583D6C"/>
    <w:rsid w:val="00584568"/>
    <w:rsid w:val="00584BC8"/>
    <w:rsid w:val="00586890"/>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0B7"/>
    <w:rsid w:val="005B02AB"/>
    <w:rsid w:val="005B17BE"/>
    <w:rsid w:val="005B18ED"/>
    <w:rsid w:val="005B31F7"/>
    <w:rsid w:val="005B3992"/>
    <w:rsid w:val="005B58FF"/>
    <w:rsid w:val="005B68C3"/>
    <w:rsid w:val="005B716F"/>
    <w:rsid w:val="005C204E"/>
    <w:rsid w:val="005C22D6"/>
    <w:rsid w:val="005C2F53"/>
    <w:rsid w:val="005C5DD4"/>
    <w:rsid w:val="005D0029"/>
    <w:rsid w:val="005D05C7"/>
    <w:rsid w:val="005D33F6"/>
    <w:rsid w:val="005D35C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F0EF2"/>
    <w:rsid w:val="005F0EF5"/>
    <w:rsid w:val="005F27A0"/>
    <w:rsid w:val="005F2815"/>
    <w:rsid w:val="005F2D0F"/>
    <w:rsid w:val="005F3CF4"/>
    <w:rsid w:val="005F6E40"/>
    <w:rsid w:val="00600A8B"/>
    <w:rsid w:val="00601913"/>
    <w:rsid w:val="0060421A"/>
    <w:rsid w:val="00611340"/>
    <w:rsid w:val="00611644"/>
    <w:rsid w:val="00611FDC"/>
    <w:rsid w:val="0061330D"/>
    <w:rsid w:val="00615AA1"/>
    <w:rsid w:val="00615FE9"/>
    <w:rsid w:val="006174FC"/>
    <w:rsid w:val="0062007D"/>
    <w:rsid w:val="006234A3"/>
    <w:rsid w:val="00623B34"/>
    <w:rsid w:val="00624E3D"/>
    <w:rsid w:val="006259CC"/>
    <w:rsid w:val="006308CD"/>
    <w:rsid w:val="006314D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B9F"/>
    <w:rsid w:val="00652E1B"/>
    <w:rsid w:val="00652E45"/>
    <w:rsid w:val="00653F32"/>
    <w:rsid w:val="006556FA"/>
    <w:rsid w:val="00656BD4"/>
    <w:rsid w:val="00657250"/>
    <w:rsid w:val="006600DC"/>
    <w:rsid w:val="00660605"/>
    <w:rsid w:val="006622B7"/>
    <w:rsid w:val="006625DC"/>
    <w:rsid w:val="00662C3D"/>
    <w:rsid w:val="00662E0D"/>
    <w:rsid w:val="0066383C"/>
    <w:rsid w:val="0066428B"/>
    <w:rsid w:val="00664C4E"/>
    <w:rsid w:val="00665BFE"/>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D9"/>
    <w:rsid w:val="006803EA"/>
    <w:rsid w:val="006813E4"/>
    <w:rsid w:val="00683D39"/>
    <w:rsid w:val="00687A8C"/>
    <w:rsid w:val="00693450"/>
    <w:rsid w:val="00695912"/>
    <w:rsid w:val="00696435"/>
    <w:rsid w:val="006964C3"/>
    <w:rsid w:val="00697C9C"/>
    <w:rsid w:val="006A53C9"/>
    <w:rsid w:val="006B0230"/>
    <w:rsid w:val="006B075E"/>
    <w:rsid w:val="006B0F3D"/>
    <w:rsid w:val="006B135C"/>
    <w:rsid w:val="006C1EBB"/>
    <w:rsid w:val="006C3986"/>
    <w:rsid w:val="006C4F78"/>
    <w:rsid w:val="006C63AE"/>
    <w:rsid w:val="006C63C2"/>
    <w:rsid w:val="006C711B"/>
    <w:rsid w:val="006D07D6"/>
    <w:rsid w:val="006D09F8"/>
    <w:rsid w:val="006D2138"/>
    <w:rsid w:val="006D225B"/>
    <w:rsid w:val="006D37D0"/>
    <w:rsid w:val="006D46B5"/>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204"/>
    <w:rsid w:val="006F66B1"/>
    <w:rsid w:val="006F72EC"/>
    <w:rsid w:val="006F7D98"/>
    <w:rsid w:val="00702968"/>
    <w:rsid w:val="007050B8"/>
    <w:rsid w:val="00705F15"/>
    <w:rsid w:val="00707949"/>
    <w:rsid w:val="007118D7"/>
    <w:rsid w:val="00712405"/>
    <w:rsid w:val="0071315C"/>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AA7"/>
    <w:rsid w:val="00742BEF"/>
    <w:rsid w:val="0074315A"/>
    <w:rsid w:val="007478F2"/>
    <w:rsid w:val="00752B06"/>
    <w:rsid w:val="00757DD1"/>
    <w:rsid w:val="00757F29"/>
    <w:rsid w:val="007600AE"/>
    <w:rsid w:val="00760C9F"/>
    <w:rsid w:val="00761EC5"/>
    <w:rsid w:val="0076289B"/>
    <w:rsid w:val="00763CC1"/>
    <w:rsid w:val="007640CC"/>
    <w:rsid w:val="007642C7"/>
    <w:rsid w:val="00764804"/>
    <w:rsid w:val="007678A9"/>
    <w:rsid w:val="00770E01"/>
    <w:rsid w:val="00771E8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468"/>
    <w:rsid w:val="007A355E"/>
    <w:rsid w:val="007A4087"/>
    <w:rsid w:val="007A506B"/>
    <w:rsid w:val="007A5914"/>
    <w:rsid w:val="007A5DF7"/>
    <w:rsid w:val="007B37F8"/>
    <w:rsid w:val="007B5C1D"/>
    <w:rsid w:val="007B66A7"/>
    <w:rsid w:val="007C16BF"/>
    <w:rsid w:val="007C358C"/>
    <w:rsid w:val="007C3CB1"/>
    <w:rsid w:val="007D0F7C"/>
    <w:rsid w:val="007D1532"/>
    <w:rsid w:val="007D26F6"/>
    <w:rsid w:val="007D383B"/>
    <w:rsid w:val="007D3B2E"/>
    <w:rsid w:val="007D59C7"/>
    <w:rsid w:val="007D5B0F"/>
    <w:rsid w:val="007D6BE6"/>
    <w:rsid w:val="007E2B3E"/>
    <w:rsid w:val="007E2F46"/>
    <w:rsid w:val="007E315C"/>
    <w:rsid w:val="007E6D8E"/>
    <w:rsid w:val="007E7000"/>
    <w:rsid w:val="007F14F5"/>
    <w:rsid w:val="007F7226"/>
    <w:rsid w:val="0080159B"/>
    <w:rsid w:val="008041B9"/>
    <w:rsid w:val="008042E9"/>
    <w:rsid w:val="0080435E"/>
    <w:rsid w:val="00805594"/>
    <w:rsid w:val="00806A0E"/>
    <w:rsid w:val="00810336"/>
    <w:rsid w:val="00812F1A"/>
    <w:rsid w:val="008147DC"/>
    <w:rsid w:val="00816500"/>
    <w:rsid w:val="00820027"/>
    <w:rsid w:val="00820EC8"/>
    <w:rsid w:val="00821135"/>
    <w:rsid w:val="00821A2E"/>
    <w:rsid w:val="00821E21"/>
    <w:rsid w:val="00822951"/>
    <w:rsid w:val="00823B75"/>
    <w:rsid w:val="00823B92"/>
    <w:rsid w:val="00824F0E"/>
    <w:rsid w:val="008259E4"/>
    <w:rsid w:val="00826EED"/>
    <w:rsid w:val="00830CBA"/>
    <w:rsid w:val="00831008"/>
    <w:rsid w:val="008311B3"/>
    <w:rsid w:val="0083160D"/>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634ED"/>
    <w:rsid w:val="008705E3"/>
    <w:rsid w:val="00870635"/>
    <w:rsid w:val="0087248D"/>
    <w:rsid w:val="00873608"/>
    <w:rsid w:val="00873E3D"/>
    <w:rsid w:val="008752C0"/>
    <w:rsid w:val="00875BCB"/>
    <w:rsid w:val="00876521"/>
    <w:rsid w:val="00880D07"/>
    <w:rsid w:val="00881537"/>
    <w:rsid w:val="00881850"/>
    <w:rsid w:val="00883375"/>
    <w:rsid w:val="008838DB"/>
    <w:rsid w:val="0088623E"/>
    <w:rsid w:val="0089074E"/>
    <w:rsid w:val="008909E5"/>
    <w:rsid w:val="00890D08"/>
    <w:rsid w:val="00894A0A"/>
    <w:rsid w:val="00894B05"/>
    <w:rsid w:val="008955BC"/>
    <w:rsid w:val="008965DD"/>
    <w:rsid w:val="008975E9"/>
    <w:rsid w:val="008A040A"/>
    <w:rsid w:val="008A055E"/>
    <w:rsid w:val="008A0565"/>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707D"/>
    <w:rsid w:val="008B7A75"/>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28F"/>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33C3"/>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38E4"/>
    <w:rsid w:val="00944ABA"/>
    <w:rsid w:val="00944FDF"/>
    <w:rsid w:val="00947EA6"/>
    <w:rsid w:val="00953180"/>
    <w:rsid w:val="00954311"/>
    <w:rsid w:val="0095587D"/>
    <w:rsid w:val="00956192"/>
    <w:rsid w:val="009561EC"/>
    <w:rsid w:val="00961798"/>
    <w:rsid w:val="00965DE3"/>
    <w:rsid w:val="0096680B"/>
    <w:rsid w:val="0096697E"/>
    <w:rsid w:val="00966D02"/>
    <w:rsid w:val="009678EA"/>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6E8E"/>
    <w:rsid w:val="00997523"/>
    <w:rsid w:val="009A06A1"/>
    <w:rsid w:val="009A665B"/>
    <w:rsid w:val="009A6CC6"/>
    <w:rsid w:val="009A76F9"/>
    <w:rsid w:val="009B1280"/>
    <w:rsid w:val="009B23EA"/>
    <w:rsid w:val="009B3290"/>
    <w:rsid w:val="009B381E"/>
    <w:rsid w:val="009B6B33"/>
    <w:rsid w:val="009B71DC"/>
    <w:rsid w:val="009C238D"/>
    <w:rsid w:val="009C25D9"/>
    <w:rsid w:val="009C2752"/>
    <w:rsid w:val="009C2B24"/>
    <w:rsid w:val="009C2D1E"/>
    <w:rsid w:val="009C402C"/>
    <w:rsid w:val="009C44A4"/>
    <w:rsid w:val="009C55C4"/>
    <w:rsid w:val="009C57F6"/>
    <w:rsid w:val="009C5EAE"/>
    <w:rsid w:val="009C6624"/>
    <w:rsid w:val="009C7327"/>
    <w:rsid w:val="009D0CA4"/>
    <w:rsid w:val="009D1BA6"/>
    <w:rsid w:val="009D4DAF"/>
    <w:rsid w:val="009D4F3B"/>
    <w:rsid w:val="009D5452"/>
    <w:rsid w:val="009D5A94"/>
    <w:rsid w:val="009D6969"/>
    <w:rsid w:val="009E1366"/>
    <w:rsid w:val="009E29C9"/>
    <w:rsid w:val="009E4949"/>
    <w:rsid w:val="009E5884"/>
    <w:rsid w:val="009E58ED"/>
    <w:rsid w:val="009E6374"/>
    <w:rsid w:val="009E63F1"/>
    <w:rsid w:val="009E6591"/>
    <w:rsid w:val="009F06B0"/>
    <w:rsid w:val="009F22AF"/>
    <w:rsid w:val="009F327C"/>
    <w:rsid w:val="009F366F"/>
    <w:rsid w:val="009F4CAE"/>
    <w:rsid w:val="009F54C3"/>
    <w:rsid w:val="009F77CD"/>
    <w:rsid w:val="009F799C"/>
    <w:rsid w:val="00A00346"/>
    <w:rsid w:val="00A01E9D"/>
    <w:rsid w:val="00A0637C"/>
    <w:rsid w:val="00A07A20"/>
    <w:rsid w:val="00A112E7"/>
    <w:rsid w:val="00A17529"/>
    <w:rsid w:val="00A17682"/>
    <w:rsid w:val="00A20532"/>
    <w:rsid w:val="00A20814"/>
    <w:rsid w:val="00A20D72"/>
    <w:rsid w:val="00A225D0"/>
    <w:rsid w:val="00A24686"/>
    <w:rsid w:val="00A25593"/>
    <w:rsid w:val="00A27068"/>
    <w:rsid w:val="00A2708A"/>
    <w:rsid w:val="00A317C5"/>
    <w:rsid w:val="00A33926"/>
    <w:rsid w:val="00A34796"/>
    <w:rsid w:val="00A3486B"/>
    <w:rsid w:val="00A35590"/>
    <w:rsid w:val="00A401BA"/>
    <w:rsid w:val="00A4290C"/>
    <w:rsid w:val="00A42D45"/>
    <w:rsid w:val="00A42DB8"/>
    <w:rsid w:val="00A44D23"/>
    <w:rsid w:val="00A503B1"/>
    <w:rsid w:val="00A52229"/>
    <w:rsid w:val="00A54F6C"/>
    <w:rsid w:val="00A56581"/>
    <w:rsid w:val="00A56AF1"/>
    <w:rsid w:val="00A60FAE"/>
    <w:rsid w:val="00A61B9E"/>
    <w:rsid w:val="00A63839"/>
    <w:rsid w:val="00A6445C"/>
    <w:rsid w:val="00A66DC3"/>
    <w:rsid w:val="00A6732B"/>
    <w:rsid w:val="00A6751F"/>
    <w:rsid w:val="00A70147"/>
    <w:rsid w:val="00A70368"/>
    <w:rsid w:val="00A73ACA"/>
    <w:rsid w:val="00A749BF"/>
    <w:rsid w:val="00A74CC6"/>
    <w:rsid w:val="00A75729"/>
    <w:rsid w:val="00A76B01"/>
    <w:rsid w:val="00A76DC3"/>
    <w:rsid w:val="00A77929"/>
    <w:rsid w:val="00A80E81"/>
    <w:rsid w:val="00A822B2"/>
    <w:rsid w:val="00A82648"/>
    <w:rsid w:val="00A82B71"/>
    <w:rsid w:val="00A83729"/>
    <w:rsid w:val="00A83DBA"/>
    <w:rsid w:val="00A85D7B"/>
    <w:rsid w:val="00A87739"/>
    <w:rsid w:val="00A90503"/>
    <w:rsid w:val="00A91896"/>
    <w:rsid w:val="00A93216"/>
    <w:rsid w:val="00A93EA0"/>
    <w:rsid w:val="00A93F34"/>
    <w:rsid w:val="00A94B13"/>
    <w:rsid w:val="00A96C0B"/>
    <w:rsid w:val="00A96D1B"/>
    <w:rsid w:val="00A97519"/>
    <w:rsid w:val="00A979ED"/>
    <w:rsid w:val="00AA0348"/>
    <w:rsid w:val="00AA0BC7"/>
    <w:rsid w:val="00AA203D"/>
    <w:rsid w:val="00AA279E"/>
    <w:rsid w:val="00AA2D93"/>
    <w:rsid w:val="00AA537E"/>
    <w:rsid w:val="00AA59A0"/>
    <w:rsid w:val="00AA6FD4"/>
    <w:rsid w:val="00AB0812"/>
    <w:rsid w:val="00AB2920"/>
    <w:rsid w:val="00AB385C"/>
    <w:rsid w:val="00AB61ED"/>
    <w:rsid w:val="00AC0A94"/>
    <w:rsid w:val="00AC1A4B"/>
    <w:rsid w:val="00AC2BB6"/>
    <w:rsid w:val="00AC3642"/>
    <w:rsid w:val="00AD0126"/>
    <w:rsid w:val="00AD01C2"/>
    <w:rsid w:val="00AD0FCB"/>
    <w:rsid w:val="00AD159C"/>
    <w:rsid w:val="00AD320D"/>
    <w:rsid w:val="00AD4DD2"/>
    <w:rsid w:val="00AE1333"/>
    <w:rsid w:val="00AE6FA7"/>
    <w:rsid w:val="00AE7035"/>
    <w:rsid w:val="00AE7757"/>
    <w:rsid w:val="00AF060E"/>
    <w:rsid w:val="00AF2D42"/>
    <w:rsid w:val="00AF569A"/>
    <w:rsid w:val="00AF572D"/>
    <w:rsid w:val="00AF5EEF"/>
    <w:rsid w:val="00AF77F9"/>
    <w:rsid w:val="00AF79CB"/>
    <w:rsid w:val="00AF7F1E"/>
    <w:rsid w:val="00B012CD"/>
    <w:rsid w:val="00B01639"/>
    <w:rsid w:val="00B03B71"/>
    <w:rsid w:val="00B0655B"/>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31AB"/>
    <w:rsid w:val="00B53C34"/>
    <w:rsid w:val="00B651E4"/>
    <w:rsid w:val="00B65791"/>
    <w:rsid w:val="00B66A36"/>
    <w:rsid w:val="00B72438"/>
    <w:rsid w:val="00B72BAB"/>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782"/>
    <w:rsid w:val="00BB0DE5"/>
    <w:rsid w:val="00BB1C7E"/>
    <w:rsid w:val="00BB2E04"/>
    <w:rsid w:val="00BB3000"/>
    <w:rsid w:val="00BB34E3"/>
    <w:rsid w:val="00BB5721"/>
    <w:rsid w:val="00BB69DB"/>
    <w:rsid w:val="00BB6B58"/>
    <w:rsid w:val="00BB6F82"/>
    <w:rsid w:val="00BC2BA2"/>
    <w:rsid w:val="00BC2ED4"/>
    <w:rsid w:val="00BC36B3"/>
    <w:rsid w:val="00BC6BCA"/>
    <w:rsid w:val="00BD0693"/>
    <w:rsid w:val="00BD08E5"/>
    <w:rsid w:val="00BD0CA8"/>
    <w:rsid w:val="00BD0CCE"/>
    <w:rsid w:val="00BD0F2D"/>
    <w:rsid w:val="00BD1014"/>
    <w:rsid w:val="00BD396E"/>
    <w:rsid w:val="00BD4914"/>
    <w:rsid w:val="00BD537B"/>
    <w:rsid w:val="00BD55B7"/>
    <w:rsid w:val="00BD659A"/>
    <w:rsid w:val="00BD7AF5"/>
    <w:rsid w:val="00BD7F12"/>
    <w:rsid w:val="00BE0572"/>
    <w:rsid w:val="00BE0F0E"/>
    <w:rsid w:val="00BE20C3"/>
    <w:rsid w:val="00BE2331"/>
    <w:rsid w:val="00BE470D"/>
    <w:rsid w:val="00BE4A53"/>
    <w:rsid w:val="00BE61A7"/>
    <w:rsid w:val="00BE7875"/>
    <w:rsid w:val="00BF0642"/>
    <w:rsid w:val="00BF1223"/>
    <w:rsid w:val="00BF21B1"/>
    <w:rsid w:val="00BF29AC"/>
    <w:rsid w:val="00BF4912"/>
    <w:rsid w:val="00BF4B8F"/>
    <w:rsid w:val="00BF6C58"/>
    <w:rsid w:val="00C000FD"/>
    <w:rsid w:val="00C005BC"/>
    <w:rsid w:val="00C01DF1"/>
    <w:rsid w:val="00C04D83"/>
    <w:rsid w:val="00C1070D"/>
    <w:rsid w:val="00C10B3B"/>
    <w:rsid w:val="00C11ECE"/>
    <w:rsid w:val="00C129DE"/>
    <w:rsid w:val="00C150BB"/>
    <w:rsid w:val="00C16B79"/>
    <w:rsid w:val="00C16E9D"/>
    <w:rsid w:val="00C2099E"/>
    <w:rsid w:val="00C224C0"/>
    <w:rsid w:val="00C22816"/>
    <w:rsid w:val="00C23CF0"/>
    <w:rsid w:val="00C249F4"/>
    <w:rsid w:val="00C31272"/>
    <w:rsid w:val="00C31BB5"/>
    <w:rsid w:val="00C34562"/>
    <w:rsid w:val="00C369F9"/>
    <w:rsid w:val="00C42F45"/>
    <w:rsid w:val="00C45170"/>
    <w:rsid w:val="00C4623F"/>
    <w:rsid w:val="00C47398"/>
    <w:rsid w:val="00C47AA5"/>
    <w:rsid w:val="00C51826"/>
    <w:rsid w:val="00C525CD"/>
    <w:rsid w:val="00C52A04"/>
    <w:rsid w:val="00C52F58"/>
    <w:rsid w:val="00C5468F"/>
    <w:rsid w:val="00C551BE"/>
    <w:rsid w:val="00C55F9D"/>
    <w:rsid w:val="00C579D5"/>
    <w:rsid w:val="00C57FF1"/>
    <w:rsid w:val="00C60145"/>
    <w:rsid w:val="00C60836"/>
    <w:rsid w:val="00C60B49"/>
    <w:rsid w:val="00C61564"/>
    <w:rsid w:val="00C6168E"/>
    <w:rsid w:val="00C62223"/>
    <w:rsid w:val="00C63544"/>
    <w:rsid w:val="00C659C1"/>
    <w:rsid w:val="00C715BD"/>
    <w:rsid w:val="00C7228F"/>
    <w:rsid w:val="00C76128"/>
    <w:rsid w:val="00C8001F"/>
    <w:rsid w:val="00C80964"/>
    <w:rsid w:val="00C82776"/>
    <w:rsid w:val="00C8303E"/>
    <w:rsid w:val="00C83C7F"/>
    <w:rsid w:val="00C84EC9"/>
    <w:rsid w:val="00C85731"/>
    <w:rsid w:val="00C8685C"/>
    <w:rsid w:val="00C87826"/>
    <w:rsid w:val="00C900B9"/>
    <w:rsid w:val="00C9066A"/>
    <w:rsid w:val="00C90AE0"/>
    <w:rsid w:val="00C926AE"/>
    <w:rsid w:val="00C9400D"/>
    <w:rsid w:val="00C9595A"/>
    <w:rsid w:val="00CA0FE5"/>
    <w:rsid w:val="00CA1B3B"/>
    <w:rsid w:val="00CA560E"/>
    <w:rsid w:val="00CA5CC9"/>
    <w:rsid w:val="00CA723F"/>
    <w:rsid w:val="00CB09CE"/>
    <w:rsid w:val="00CB1B1A"/>
    <w:rsid w:val="00CB2A6E"/>
    <w:rsid w:val="00CB4D63"/>
    <w:rsid w:val="00CB6C17"/>
    <w:rsid w:val="00CB7304"/>
    <w:rsid w:val="00CB78C4"/>
    <w:rsid w:val="00CC0897"/>
    <w:rsid w:val="00CC1CB4"/>
    <w:rsid w:val="00CC3478"/>
    <w:rsid w:val="00CC7D0A"/>
    <w:rsid w:val="00CD02AB"/>
    <w:rsid w:val="00CD13F8"/>
    <w:rsid w:val="00CD28D5"/>
    <w:rsid w:val="00CD2EA0"/>
    <w:rsid w:val="00CD330F"/>
    <w:rsid w:val="00CD4123"/>
    <w:rsid w:val="00CD6788"/>
    <w:rsid w:val="00CD681E"/>
    <w:rsid w:val="00CE11F6"/>
    <w:rsid w:val="00CE2716"/>
    <w:rsid w:val="00CE2888"/>
    <w:rsid w:val="00CE2DFA"/>
    <w:rsid w:val="00CE2F2A"/>
    <w:rsid w:val="00CE461E"/>
    <w:rsid w:val="00CE66B6"/>
    <w:rsid w:val="00CE699E"/>
    <w:rsid w:val="00CE7B3A"/>
    <w:rsid w:val="00CF00D7"/>
    <w:rsid w:val="00CF01F6"/>
    <w:rsid w:val="00CF2376"/>
    <w:rsid w:val="00CF2C6A"/>
    <w:rsid w:val="00CF5CDF"/>
    <w:rsid w:val="00CF6DC4"/>
    <w:rsid w:val="00CF74D7"/>
    <w:rsid w:val="00CF76B3"/>
    <w:rsid w:val="00CF77BF"/>
    <w:rsid w:val="00CF7D07"/>
    <w:rsid w:val="00D00510"/>
    <w:rsid w:val="00D0077C"/>
    <w:rsid w:val="00D00BE7"/>
    <w:rsid w:val="00D00E94"/>
    <w:rsid w:val="00D03109"/>
    <w:rsid w:val="00D03A53"/>
    <w:rsid w:val="00D04219"/>
    <w:rsid w:val="00D042B9"/>
    <w:rsid w:val="00D075C8"/>
    <w:rsid w:val="00D100AF"/>
    <w:rsid w:val="00D100F6"/>
    <w:rsid w:val="00D11A4B"/>
    <w:rsid w:val="00D12E93"/>
    <w:rsid w:val="00D14823"/>
    <w:rsid w:val="00D17BFC"/>
    <w:rsid w:val="00D21F05"/>
    <w:rsid w:val="00D224F3"/>
    <w:rsid w:val="00D24521"/>
    <w:rsid w:val="00D250E4"/>
    <w:rsid w:val="00D270E9"/>
    <w:rsid w:val="00D27C6F"/>
    <w:rsid w:val="00D30B66"/>
    <w:rsid w:val="00D31842"/>
    <w:rsid w:val="00D31C14"/>
    <w:rsid w:val="00D32983"/>
    <w:rsid w:val="00D334E2"/>
    <w:rsid w:val="00D349F2"/>
    <w:rsid w:val="00D35098"/>
    <w:rsid w:val="00D36F00"/>
    <w:rsid w:val="00D40A25"/>
    <w:rsid w:val="00D42F42"/>
    <w:rsid w:val="00D43767"/>
    <w:rsid w:val="00D4461C"/>
    <w:rsid w:val="00D478F6"/>
    <w:rsid w:val="00D501A1"/>
    <w:rsid w:val="00D52251"/>
    <w:rsid w:val="00D60512"/>
    <w:rsid w:val="00D60B36"/>
    <w:rsid w:val="00D61D54"/>
    <w:rsid w:val="00D62801"/>
    <w:rsid w:val="00D63CCB"/>
    <w:rsid w:val="00D65446"/>
    <w:rsid w:val="00D65E59"/>
    <w:rsid w:val="00D66C8E"/>
    <w:rsid w:val="00D67480"/>
    <w:rsid w:val="00D7055A"/>
    <w:rsid w:val="00D70A75"/>
    <w:rsid w:val="00D72A31"/>
    <w:rsid w:val="00D73D1F"/>
    <w:rsid w:val="00D7465B"/>
    <w:rsid w:val="00D8203D"/>
    <w:rsid w:val="00D85741"/>
    <w:rsid w:val="00D862E6"/>
    <w:rsid w:val="00D903E2"/>
    <w:rsid w:val="00D9055C"/>
    <w:rsid w:val="00D90A45"/>
    <w:rsid w:val="00D90C50"/>
    <w:rsid w:val="00D92F9F"/>
    <w:rsid w:val="00D93260"/>
    <w:rsid w:val="00D934F0"/>
    <w:rsid w:val="00D93CE0"/>
    <w:rsid w:val="00D9468D"/>
    <w:rsid w:val="00D94754"/>
    <w:rsid w:val="00D94C5D"/>
    <w:rsid w:val="00D9551C"/>
    <w:rsid w:val="00D95A5E"/>
    <w:rsid w:val="00D95E2C"/>
    <w:rsid w:val="00D977EB"/>
    <w:rsid w:val="00DA3DF4"/>
    <w:rsid w:val="00DA48DA"/>
    <w:rsid w:val="00DA6976"/>
    <w:rsid w:val="00DA7ECA"/>
    <w:rsid w:val="00DB0169"/>
    <w:rsid w:val="00DB02E7"/>
    <w:rsid w:val="00DB0AC3"/>
    <w:rsid w:val="00DB19FF"/>
    <w:rsid w:val="00DB1F3F"/>
    <w:rsid w:val="00DB2168"/>
    <w:rsid w:val="00DB2200"/>
    <w:rsid w:val="00DB3161"/>
    <w:rsid w:val="00DB31BA"/>
    <w:rsid w:val="00DB3952"/>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5D5"/>
    <w:rsid w:val="00DD590B"/>
    <w:rsid w:val="00DD6D36"/>
    <w:rsid w:val="00DE12BA"/>
    <w:rsid w:val="00DE4C54"/>
    <w:rsid w:val="00DE72FF"/>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2CEC"/>
    <w:rsid w:val="00E07299"/>
    <w:rsid w:val="00E10987"/>
    <w:rsid w:val="00E10E9F"/>
    <w:rsid w:val="00E12162"/>
    <w:rsid w:val="00E1237D"/>
    <w:rsid w:val="00E1246C"/>
    <w:rsid w:val="00E150CD"/>
    <w:rsid w:val="00E15335"/>
    <w:rsid w:val="00E15FE2"/>
    <w:rsid w:val="00E16EB3"/>
    <w:rsid w:val="00E17A0A"/>
    <w:rsid w:val="00E20973"/>
    <w:rsid w:val="00E20EAD"/>
    <w:rsid w:val="00E2114F"/>
    <w:rsid w:val="00E231B5"/>
    <w:rsid w:val="00E26138"/>
    <w:rsid w:val="00E271A5"/>
    <w:rsid w:val="00E27D5F"/>
    <w:rsid w:val="00E32F77"/>
    <w:rsid w:val="00E33F31"/>
    <w:rsid w:val="00E37B03"/>
    <w:rsid w:val="00E41838"/>
    <w:rsid w:val="00E429CC"/>
    <w:rsid w:val="00E43661"/>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237"/>
    <w:rsid w:val="00E723B5"/>
    <w:rsid w:val="00E72D9D"/>
    <w:rsid w:val="00E7351D"/>
    <w:rsid w:val="00E73A92"/>
    <w:rsid w:val="00E760AA"/>
    <w:rsid w:val="00E775D3"/>
    <w:rsid w:val="00E806D4"/>
    <w:rsid w:val="00E827E8"/>
    <w:rsid w:val="00E832F5"/>
    <w:rsid w:val="00E85FC6"/>
    <w:rsid w:val="00E86D1B"/>
    <w:rsid w:val="00E87DB5"/>
    <w:rsid w:val="00E963FB"/>
    <w:rsid w:val="00E975A8"/>
    <w:rsid w:val="00EA0275"/>
    <w:rsid w:val="00EA29A3"/>
    <w:rsid w:val="00EA543D"/>
    <w:rsid w:val="00EA71B1"/>
    <w:rsid w:val="00EB025B"/>
    <w:rsid w:val="00EB1046"/>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D7D58"/>
    <w:rsid w:val="00EE1F28"/>
    <w:rsid w:val="00EE46DE"/>
    <w:rsid w:val="00EE7541"/>
    <w:rsid w:val="00EE79AE"/>
    <w:rsid w:val="00EF067B"/>
    <w:rsid w:val="00EF0CD0"/>
    <w:rsid w:val="00EF284D"/>
    <w:rsid w:val="00EF2A2C"/>
    <w:rsid w:val="00EF30E5"/>
    <w:rsid w:val="00EF4272"/>
    <w:rsid w:val="00EF5746"/>
    <w:rsid w:val="00EF587D"/>
    <w:rsid w:val="00EF5F4A"/>
    <w:rsid w:val="00EF7A51"/>
    <w:rsid w:val="00EF7E66"/>
    <w:rsid w:val="00F0098C"/>
    <w:rsid w:val="00F00D54"/>
    <w:rsid w:val="00F03628"/>
    <w:rsid w:val="00F06D25"/>
    <w:rsid w:val="00F11E9E"/>
    <w:rsid w:val="00F13475"/>
    <w:rsid w:val="00F1504E"/>
    <w:rsid w:val="00F1512E"/>
    <w:rsid w:val="00F206EA"/>
    <w:rsid w:val="00F213BB"/>
    <w:rsid w:val="00F232DE"/>
    <w:rsid w:val="00F24977"/>
    <w:rsid w:val="00F24B2C"/>
    <w:rsid w:val="00F26279"/>
    <w:rsid w:val="00F2705F"/>
    <w:rsid w:val="00F27C6C"/>
    <w:rsid w:val="00F33BDF"/>
    <w:rsid w:val="00F3755A"/>
    <w:rsid w:val="00F37A62"/>
    <w:rsid w:val="00F4129B"/>
    <w:rsid w:val="00F43AF9"/>
    <w:rsid w:val="00F43F47"/>
    <w:rsid w:val="00F45473"/>
    <w:rsid w:val="00F45A78"/>
    <w:rsid w:val="00F468B8"/>
    <w:rsid w:val="00F470C3"/>
    <w:rsid w:val="00F474E6"/>
    <w:rsid w:val="00F5008E"/>
    <w:rsid w:val="00F51A9F"/>
    <w:rsid w:val="00F52D4D"/>
    <w:rsid w:val="00F52E60"/>
    <w:rsid w:val="00F537FA"/>
    <w:rsid w:val="00F560EA"/>
    <w:rsid w:val="00F618F1"/>
    <w:rsid w:val="00F62A1B"/>
    <w:rsid w:val="00F650D3"/>
    <w:rsid w:val="00F6643C"/>
    <w:rsid w:val="00F7024F"/>
    <w:rsid w:val="00F71E9E"/>
    <w:rsid w:val="00F72189"/>
    <w:rsid w:val="00F73219"/>
    <w:rsid w:val="00F73667"/>
    <w:rsid w:val="00F73D39"/>
    <w:rsid w:val="00F7454F"/>
    <w:rsid w:val="00F7637B"/>
    <w:rsid w:val="00F76BCF"/>
    <w:rsid w:val="00F77CF6"/>
    <w:rsid w:val="00F8335E"/>
    <w:rsid w:val="00F86559"/>
    <w:rsid w:val="00F87C10"/>
    <w:rsid w:val="00F91E8F"/>
    <w:rsid w:val="00F92280"/>
    <w:rsid w:val="00F941F9"/>
    <w:rsid w:val="00F943CE"/>
    <w:rsid w:val="00F9478D"/>
    <w:rsid w:val="00F95710"/>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525"/>
    <w:rsid w:val="00FB676B"/>
    <w:rsid w:val="00FB743A"/>
    <w:rsid w:val="00FB75B2"/>
    <w:rsid w:val="00FB7E93"/>
    <w:rsid w:val="00FB7FC4"/>
    <w:rsid w:val="00FC0303"/>
    <w:rsid w:val="00FC1267"/>
    <w:rsid w:val="00FC28C3"/>
    <w:rsid w:val="00FC430A"/>
    <w:rsid w:val="00FC5120"/>
    <w:rsid w:val="00FC5961"/>
    <w:rsid w:val="00FC5F3D"/>
    <w:rsid w:val="00FD0D95"/>
    <w:rsid w:val="00FD3526"/>
    <w:rsid w:val="00FD5713"/>
    <w:rsid w:val="00FD6CF0"/>
    <w:rsid w:val="00FD7CF9"/>
    <w:rsid w:val="00FE0185"/>
    <w:rsid w:val="00FE0DFF"/>
    <w:rsid w:val="00FE39A9"/>
    <w:rsid w:val="00FE4B86"/>
    <w:rsid w:val="00FE6A77"/>
    <w:rsid w:val="00FF1D41"/>
    <w:rsid w:val="00FF2CC0"/>
    <w:rsid w:val="00FF2F4B"/>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qFormat/>
    <w:rsid w:val="00670C79"/>
    <w:pPr>
      <w:keepNext/>
      <w:spacing w:line="360" w:lineRule="auto"/>
      <w:outlineLvl w:val="0"/>
    </w:pPr>
    <w:rPr>
      <w:sz w:val="28"/>
    </w:rPr>
  </w:style>
  <w:style w:type="paragraph" w:styleId="Titlu2">
    <w:name w:val="heading 2"/>
    <w:basedOn w:val="Normal"/>
    <w:next w:val="Normal"/>
    <w:link w:val="Titlu2Caracter"/>
    <w:qFormat/>
    <w:rsid w:val="00670C79"/>
    <w:pPr>
      <w:keepNext/>
      <w:jc w:val="both"/>
      <w:outlineLvl w:val="1"/>
    </w:pPr>
    <w:rPr>
      <w:sz w:val="28"/>
    </w:rPr>
  </w:style>
  <w:style w:type="paragraph" w:styleId="Titlu3">
    <w:name w:val="heading 3"/>
    <w:basedOn w:val="Normal"/>
    <w:next w:val="Normal"/>
    <w:link w:val="Titlu3Caracte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Titlu6">
    <w:name w:val="heading 6"/>
    <w:basedOn w:val="Normal"/>
    <w:next w:val="Normal"/>
    <w:link w:val="Titlu6Caracter"/>
    <w:qFormat/>
    <w:rsid w:val="00670C79"/>
    <w:pPr>
      <w:keepNext/>
      <w:spacing w:before="120" w:after="120" w:line="360" w:lineRule="auto"/>
      <w:outlineLvl w:val="5"/>
    </w:pPr>
    <w:rPr>
      <w:b/>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670C79"/>
    <w:rPr>
      <w:rFonts w:ascii="Times New Roman" w:eastAsia="Times New Roman" w:hAnsi="Times New Roman" w:cs="Times New Roman"/>
      <w:sz w:val="28"/>
      <w:szCs w:val="24"/>
      <w:lang w:val="ro-RO"/>
    </w:rPr>
  </w:style>
  <w:style w:type="character" w:customStyle="1" w:styleId="Titlu2Caracter">
    <w:name w:val="Titlu 2 Caracter"/>
    <w:basedOn w:val="Fontdeparagrafimplicit"/>
    <w:link w:val="Titlu2"/>
    <w:rsid w:val="00670C79"/>
    <w:rPr>
      <w:rFonts w:ascii="Times New Roman" w:eastAsia="Times New Roman" w:hAnsi="Times New Roman" w:cs="Times New Roman"/>
      <w:sz w:val="28"/>
      <w:szCs w:val="24"/>
      <w:lang w:val="ro-RO"/>
    </w:rPr>
  </w:style>
  <w:style w:type="character" w:customStyle="1" w:styleId="Titlu6Caracter">
    <w:name w:val="Titlu 6 Caracter"/>
    <w:basedOn w:val="Fontdeparagrafimplicit"/>
    <w:link w:val="Titlu6"/>
    <w:rsid w:val="00670C79"/>
    <w:rPr>
      <w:rFonts w:ascii="Times New Roman" w:eastAsia="Times New Roman" w:hAnsi="Times New Roman" w:cs="Times New Roman"/>
      <w:b/>
      <w:sz w:val="28"/>
      <w:szCs w:val="24"/>
      <w:lang w:val="ro-RO"/>
    </w:rPr>
  </w:style>
  <w:style w:type="paragraph" w:styleId="Indentcorptext2">
    <w:name w:val="Body Text Indent 2"/>
    <w:basedOn w:val="Normal"/>
    <w:link w:val="Indentcorptext2Caracter"/>
    <w:semiHidden/>
    <w:rsid w:val="00670C79"/>
    <w:pPr>
      <w:spacing w:before="120" w:after="120" w:line="360" w:lineRule="auto"/>
      <w:ind w:firstLine="357"/>
    </w:pPr>
    <w:rPr>
      <w:b/>
      <w:bCs/>
      <w:sz w:val="28"/>
    </w:rPr>
  </w:style>
  <w:style w:type="character" w:customStyle="1" w:styleId="Indentcorptext2Caracter">
    <w:name w:val="Indent corp text 2 Caracter"/>
    <w:basedOn w:val="Fontdeparagrafimplicit"/>
    <w:link w:val="Indentcorptext2"/>
    <w:semiHidden/>
    <w:rsid w:val="00670C79"/>
    <w:rPr>
      <w:rFonts w:ascii="Times New Roman" w:eastAsia="Times New Roman" w:hAnsi="Times New Roman" w:cs="Times New Roman"/>
      <w:b/>
      <w:bCs/>
      <w:sz w:val="28"/>
      <w:szCs w:val="24"/>
      <w:lang w:val="ro-RO"/>
    </w:rPr>
  </w:style>
  <w:style w:type="paragraph" w:styleId="Corptext2">
    <w:name w:val="Body Text 2"/>
    <w:basedOn w:val="Normal"/>
    <w:link w:val="Corptext2Caracter"/>
    <w:semiHidden/>
    <w:rsid w:val="00670C79"/>
    <w:pPr>
      <w:jc w:val="both"/>
    </w:pPr>
    <w:rPr>
      <w:sz w:val="28"/>
    </w:rPr>
  </w:style>
  <w:style w:type="character" w:customStyle="1" w:styleId="Corptext2Caracter">
    <w:name w:val="Corp text 2 Caracter"/>
    <w:basedOn w:val="Fontdeparagrafimplicit"/>
    <w:link w:val="Corptext2"/>
    <w:semiHidden/>
    <w:rsid w:val="00670C79"/>
    <w:rPr>
      <w:rFonts w:ascii="Times New Roman" w:eastAsia="Times New Roman" w:hAnsi="Times New Roman" w:cs="Times New Roman"/>
      <w:sz w:val="28"/>
      <w:szCs w:val="24"/>
      <w:lang w:val="ro-RO"/>
    </w:rPr>
  </w:style>
  <w:style w:type="paragraph" w:styleId="Titlu">
    <w:name w:val="Title"/>
    <w:basedOn w:val="Normal"/>
    <w:link w:val="TitluCaracter"/>
    <w:qFormat/>
    <w:rsid w:val="00670C79"/>
    <w:pPr>
      <w:spacing w:line="360" w:lineRule="auto"/>
      <w:jc w:val="center"/>
    </w:pPr>
    <w:rPr>
      <w:b/>
      <w:sz w:val="32"/>
      <w:szCs w:val="32"/>
    </w:rPr>
  </w:style>
  <w:style w:type="character" w:customStyle="1" w:styleId="TitluCaracter">
    <w:name w:val="Titlu Caracter"/>
    <w:basedOn w:val="Fontdeparagrafimplicit"/>
    <w:link w:val="Titlu"/>
    <w:rsid w:val="00670C79"/>
    <w:rPr>
      <w:rFonts w:ascii="Times New Roman" w:eastAsia="Times New Roman" w:hAnsi="Times New Roman" w:cs="Times New Roman"/>
      <w:b/>
      <w:sz w:val="32"/>
      <w:szCs w:val="32"/>
      <w:lang w:val="ro-RO"/>
    </w:rPr>
  </w:style>
  <w:style w:type="paragraph" w:styleId="Subsol">
    <w:name w:val="footer"/>
    <w:basedOn w:val="Normal"/>
    <w:link w:val="SubsolCaracter"/>
    <w:uiPriority w:val="99"/>
    <w:rsid w:val="00670C79"/>
    <w:pPr>
      <w:tabs>
        <w:tab w:val="center" w:pos="4536"/>
        <w:tab w:val="right" w:pos="9072"/>
      </w:tabs>
    </w:pPr>
  </w:style>
  <w:style w:type="character" w:customStyle="1" w:styleId="SubsolCaracter">
    <w:name w:val="Subsol Caracter"/>
    <w:basedOn w:val="Fontdeparagrafimplicit"/>
    <w:link w:val="Subsol"/>
    <w:uiPriority w:val="99"/>
    <w:rsid w:val="00670C79"/>
    <w:rPr>
      <w:rFonts w:ascii="Times New Roman" w:eastAsia="Times New Roman" w:hAnsi="Times New Roman" w:cs="Times New Roman"/>
      <w:sz w:val="24"/>
      <w:szCs w:val="24"/>
      <w:lang w:val="ro-RO"/>
    </w:rPr>
  </w:style>
  <w:style w:type="character" w:styleId="Numrdepagin">
    <w:name w:val="page number"/>
    <w:basedOn w:val="Fontdeparagrafimplicit"/>
    <w:rsid w:val="00670C79"/>
  </w:style>
  <w:style w:type="table" w:styleId="Tabelgril">
    <w:name w:val="Table Grid"/>
    <w:basedOn w:val="Tabel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atHTML">
    <w:name w:val="HTML Preformatted"/>
    <w:basedOn w:val="Normal"/>
    <w:link w:val="PreformatatHTMLCaracte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670C79"/>
    <w:rPr>
      <w:rFonts w:ascii="Courier New" w:eastAsia="Times New Roman" w:hAnsi="Courier New" w:cs="Courier New"/>
      <w:sz w:val="20"/>
      <w:szCs w:val="20"/>
      <w:lang w:val="ro-RO" w:eastAsia="ro-RO"/>
    </w:rPr>
  </w:style>
  <w:style w:type="paragraph" w:styleId="Frspaiere">
    <w:name w:val="No Spacing"/>
    <w:link w:val="FrspaiereCaracter"/>
    <w:qFormat/>
    <w:rsid w:val="00966D02"/>
    <w:pPr>
      <w:spacing w:after="0" w:line="240" w:lineRule="auto"/>
    </w:pPr>
    <w:rPr>
      <w:rFonts w:ascii="Calibri" w:eastAsia="Calibri" w:hAnsi="Calibri" w:cs="Times New Roman"/>
    </w:rPr>
  </w:style>
  <w:style w:type="character" w:customStyle="1" w:styleId="FrspaiereCaracter">
    <w:name w:val="Fără spațiere Caracter"/>
    <w:link w:val="Frspaiere"/>
    <w:locked/>
    <w:rsid w:val="00966D02"/>
    <w:rPr>
      <w:rFonts w:ascii="Calibri" w:eastAsia="Calibri" w:hAnsi="Calibri" w:cs="Times New Roman"/>
    </w:rPr>
  </w:style>
  <w:style w:type="paragraph" w:styleId="TextnBalon">
    <w:name w:val="Balloon Text"/>
    <w:basedOn w:val="Normal"/>
    <w:link w:val="TextnBalonCaracter"/>
    <w:uiPriority w:val="99"/>
    <w:semiHidden/>
    <w:unhideWhenUsed/>
    <w:rsid w:val="00BA4E0F"/>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A4E0F"/>
    <w:rPr>
      <w:rFonts w:ascii="Tahoma" w:eastAsia="Times New Roman" w:hAnsi="Tahoma" w:cs="Tahoma"/>
      <w:sz w:val="16"/>
      <w:szCs w:val="16"/>
      <w:lang w:val="ro-RO"/>
    </w:rPr>
  </w:style>
  <w:style w:type="character" w:styleId="Referincomentariu">
    <w:name w:val="annotation reference"/>
    <w:basedOn w:val="Fontdeparagrafimplicit"/>
    <w:uiPriority w:val="99"/>
    <w:unhideWhenUsed/>
    <w:rsid w:val="00CE7B3A"/>
    <w:rPr>
      <w:sz w:val="16"/>
      <w:szCs w:val="16"/>
    </w:rPr>
  </w:style>
  <w:style w:type="paragraph" w:styleId="Textcomentariu">
    <w:name w:val="annotation text"/>
    <w:basedOn w:val="Normal"/>
    <w:link w:val="TextcomentariuCaracter"/>
    <w:uiPriority w:val="99"/>
    <w:unhideWhenUsed/>
    <w:rsid w:val="00CE7B3A"/>
    <w:rPr>
      <w:sz w:val="20"/>
      <w:szCs w:val="20"/>
    </w:rPr>
  </w:style>
  <w:style w:type="character" w:customStyle="1" w:styleId="TextcomentariuCaracter">
    <w:name w:val="Text comentariu Caracter"/>
    <w:basedOn w:val="Fontdeparagrafimplicit"/>
    <w:link w:val="Textcomentariu"/>
    <w:uiPriority w:val="99"/>
    <w:rsid w:val="00CE7B3A"/>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CE7B3A"/>
    <w:rPr>
      <w:b/>
      <w:bCs/>
    </w:rPr>
  </w:style>
  <w:style w:type="character" w:customStyle="1" w:styleId="SubiectComentariuCaracter">
    <w:name w:val="Subiect Comentariu Caracter"/>
    <w:basedOn w:val="TextcomentariuCaracter"/>
    <w:link w:val="SubiectComentariu"/>
    <w:uiPriority w:val="99"/>
    <w:semiHidden/>
    <w:rsid w:val="00CE7B3A"/>
    <w:rPr>
      <w:rFonts w:ascii="Times New Roman" w:eastAsia="Times New Roman" w:hAnsi="Times New Roman" w:cs="Times New Roman"/>
      <w:b/>
      <w:bCs/>
      <w:sz w:val="20"/>
      <w:szCs w:val="20"/>
      <w:lang w:val="ro-RO"/>
    </w:rPr>
  </w:style>
  <w:style w:type="character" w:customStyle="1" w:styleId="Titlu3Caracter">
    <w:name w:val="Titlu 3 Caracter"/>
    <w:basedOn w:val="Fontdeparagrafimplicit"/>
    <w:link w:val="Titlu3"/>
    <w:uiPriority w:val="9"/>
    <w:rsid w:val="00C01DF1"/>
    <w:rPr>
      <w:rFonts w:asciiTheme="majorHAnsi" w:eastAsiaTheme="majorEastAsia" w:hAnsiTheme="majorHAnsi" w:cstheme="majorBidi"/>
      <w:b/>
      <w:bCs/>
      <w:color w:val="5B9BD5" w:themeColor="accent1"/>
      <w:sz w:val="24"/>
      <w:szCs w:val="24"/>
      <w:lang w:val="ro-RO"/>
    </w:rPr>
  </w:style>
  <w:style w:type="paragraph" w:styleId="Listparagraf">
    <w:name w:val="List Paragraph"/>
    <w:aliases w:val="Normal bullet 2,List Paragraph1,List1,body 2,List Paragraph11,Listă colorată - Accentuare 11,Bullet,Citation List,Forth level,Akapit z listą BS,Outlines a.b.c.,List_Paragraph,Multilevel para_II,Akapit z lista BS"/>
    <w:basedOn w:val="Normal"/>
    <w:link w:val="ListparagrafCaracter"/>
    <w:uiPriority w:val="34"/>
    <w:qFormat/>
    <w:rsid w:val="00CD681E"/>
    <w:pPr>
      <w:ind w:left="720"/>
      <w:contextualSpacing/>
    </w:pPr>
    <w:rPr>
      <w:rFonts w:asciiTheme="minorHAnsi" w:eastAsiaTheme="minorHAnsi" w:hAnsiTheme="minorHAnsi" w:cstheme="minorBidi"/>
    </w:rPr>
  </w:style>
  <w:style w:type="character" w:customStyle="1" w:styleId="ListparagrafCaracter">
    <w:name w:val="Listă paragraf Caracter"/>
    <w:aliases w:val="Normal bullet 2 Caracter,List Paragraph1 Caracter,List1 Caracter,body 2 Caracter,List Paragraph11 Caracter,Listă colorată - Accentuare 11 Caracter,Bullet Caracter,Citation List Caracter,Forth level Caracter"/>
    <w:link w:val="Listparagraf"/>
    <w:uiPriority w:val="34"/>
    <w:locked/>
    <w:rsid w:val="009B71DC"/>
    <w:rPr>
      <w:sz w:val="24"/>
      <w:szCs w:val="24"/>
      <w:lang w:val="ro-RO"/>
    </w:rPr>
  </w:style>
  <w:style w:type="character" w:customStyle="1" w:styleId="ColorfulList-Accent1Char">
    <w:name w:val="Colorful List - Accent 1 Char"/>
    <w:link w:val="Listcolorat-Accentuare1"/>
    <w:uiPriority w:val="34"/>
    <w:locked/>
    <w:rsid w:val="009B71DC"/>
    <w:rPr>
      <w:noProof/>
      <w:sz w:val="24"/>
      <w:szCs w:val="24"/>
      <w:lang w:val="ro-RO"/>
    </w:rPr>
  </w:style>
  <w:style w:type="table" w:styleId="Listcolorat-Accentuare1">
    <w:name w:val="Colorful List Accent 1"/>
    <w:basedOn w:val="Tabel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Antet">
    <w:name w:val="header"/>
    <w:basedOn w:val="Normal"/>
    <w:link w:val="AntetCaracter"/>
    <w:uiPriority w:val="99"/>
    <w:unhideWhenUsed/>
    <w:rsid w:val="00BA47F0"/>
    <w:pPr>
      <w:tabs>
        <w:tab w:val="center" w:pos="4536"/>
        <w:tab w:val="right" w:pos="9072"/>
      </w:tabs>
    </w:pPr>
  </w:style>
  <w:style w:type="character" w:customStyle="1" w:styleId="AntetCaracter">
    <w:name w:val="Antet Caracter"/>
    <w:basedOn w:val="Fontdeparagrafimplicit"/>
    <w:link w:val="Antet"/>
    <w:uiPriority w:val="99"/>
    <w:rsid w:val="00BA47F0"/>
    <w:rPr>
      <w:rFonts w:ascii="Times New Roman" w:eastAsia="Times New Roman" w:hAnsi="Times New Roman" w:cs="Times New Roman"/>
      <w:sz w:val="24"/>
      <w:szCs w:val="24"/>
      <w:lang w:val="ro-RO"/>
    </w:rPr>
  </w:style>
  <w:style w:type="character" w:customStyle="1" w:styleId="panchor">
    <w:name w:val="panchor"/>
    <w:basedOn w:val="Fontdeparagrafimplicit"/>
    <w:rsid w:val="00161A61"/>
  </w:style>
  <w:style w:type="character" w:styleId="Hyperlink">
    <w:name w:val="Hyperlink"/>
    <w:basedOn w:val="Fontdeparagrafimplicit"/>
    <w:uiPriority w:val="99"/>
    <w:unhideWhenUsed/>
    <w:rsid w:val="001B7961"/>
    <w:rPr>
      <w:color w:val="0000FF"/>
      <w:u w:val="single"/>
    </w:rPr>
  </w:style>
  <w:style w:type="character" w:customStyle="1" w:styleId="slgi">
    <w:name w:val="s_lgi"/>
    <w:basedOn w:val="Fontdeparagrafimplicit"/>
    <w:rsid w:val="00EF067B"/>
  </w:style>
  <w:style w:type="paragraph" w:styleId="Revizuire">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elNormal"/>
    <w:next w:val="Tabelgril"/>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ontdeparagrafimplici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Textnotdesubsol">
    <w:name w:val="footnote text"/>
    <w:basedOn w:val="Normal"/>
    <w:link w:val="TextnotdesubsolCaracter"/>
    <w:uiPriority w:val="99"/>
    <w:semiHidden/>
    <w:unhideWhenUsed/>
    <w:rsid w:val="0016469A"/>
    <w:rPr>
      <w:sz w:val="20"/>
      <w:szCs w:val="20"/>
      <w:lang w:val="en-US"/>
    </w:rPr>
  </w:style>
  <w:style w:type="character" w:customStyle="1" w:styleId="TextnotdesubsolCaracter">
    <w:name w:val="Text notă de subsol Caracter"/>
    <w:basedOn w:val="Fontdeparagrafimplicit"/>
    <w:link w:val="Textnotdesubsol"/>
    <w:uiPriority w:val="99"/>
    <w:semiHidden/>
    <w:rsid w:val="0016469A"/>
    <w:rPr>
      <w:rFonts w:ascii="Times New Roman" w:eastAsia="Times New Roman" w:hAnsi="Times New Roman" w:cs="Times New Roman"/>
      <w:sz w:val="20"/>
      <w:szCs w:val="20"/>
    </w:rPr>
  </w:style>
  <w:style w:type="character" w:styleId="Referinnotdesubsol">
    <w:name w:val="footnote reference"/>
    <w:uiPriority w:val="99"/>
    <w:semiHidden/>
    <w:unhideWhenUsed/>
    <w:rsid w:val="0016469A"/>
    <w:rPr>
      <w:vertAlign w:val="superscript"/>
    </w:rPr>
  </w:style>
  <w:style w:type="paragraph" w:styleId="Indentcorptext">
    <w:name w:val="Body Text Indent"/>
    <w:basedOn w:val="Normal"/>
    <w:link w:val="IndentcorptextCaracter"/>
    <w:uiPriority w:val="99"/>
    <w:semiHidden/>
    <w:unhideWhenUsed/>
    <w:rsid w:val="00D95A5E"/>
    <w:pPr>
      <w:spacing w:after="120"/>
      <w:ind w:left="283"/>
    </w:pPr>
  </w:style>
  <w:style w:type="character" w:customStyle="1" w:styleId="IndentcorptextCaracter">
    <w:name w:val="Indent corp text Caracter"/>
    <w:basedOn w:val="Fontdeparagrafimplicit"/>
    <w:link w:val="Indentcorptext"/>
    <w:uiPriority w:val="99"/>
    <w:semiHidden/>
    <w:rsid w:val="00D95A5E"/>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9824">
      <w:bodyDiv w:val="1"/>
      <w:marLeft w:val="0"/>
      <w:marRight w:val="0"/>
      <w:marTop w:val="0"/>
      <w:marBottom w:val="0"/>
      <w:divBdr>
        <w:top w:val="none" w:sz="0" w:space="0" w:color="auto"/>
        <w:left w:val="none" w:sz="0" w:space="0" w:color="auto"/>
        <w:bottom w:val="none" w:sz="0" w:space="0" w:color="auto"/>
        <w:right w:val="none" w:sz="0" w:space="0" w:color="auto"/>
      </w:divBdr>
    </w:div>
    <w:div w:id="87848385">
      <w:bodyDiv w:val="1"/>
      <w:marLeft w:val="0"/>
      <w:marRight w:val="0"/>
      <w:marTop w:val="0"/>
      <w:marBottom w:val="0"/>
      <w:divBdr>
        <w:top w:val="none" w:sz="0" w:space="0" w:color="auto"/>
        <w:left w:val="none" w:sz="0" w:space="0" w:color="auto"/>
        <w:bottom w:val="none" w:sz="0" w:space="0" w:color="auto"/>
        <w:right w:val="none" w:sz="0" w:space="0" w:color="auto"/>
      </w:divBdr>
    </w:div>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16497384">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53329802">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574050523">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686643268">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774330755">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230463867">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85251289">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495343756">
      <w:bodyDiv w:val="1"/>
      <w:marLeft w:val="0"/>
      <w:marRight w:val="0"/>
      <w:marTop w:val="0"/>
      <w:marBottom w:val="0"/>
      <w:divBdr>
        <w:top w:val="none" w:sz="0" w:space="0" w:color="auto"/>
        <w:left w:val="none" w:sz="0" w:space="0" w:color="auto"/>
        <w:bottom w:val="none" w:sz="0" w:space="0" w:color="auto"/>
        <w:right w:val="none" w:sz="0" w:space="0" w:color="auto"/>
      </w:divBdr>
    </w:div>
    <w:div w:id="1556619908">
      <w:bodyDiv w:val="1"/>
      <w:marLeft w:val="0"/>
      <w:marRight w:val="0"/>
      <w:marTop w:val="0"/>
      <w:marBottom w:val="0"/>
      <w:divBdr>
        <w:top w:val="none" w:sz="0" w:space="0" w:color="auto"/>
        <w:left w:val="none" w:sz="0" w:space="0" w:color="auto"/>
        <w:bottom w:val="none" w:sz="0" w:space="0" w:color="auto"/>
        <w:right w:val="none" w:sz="0" w:space="0" w:color="auto"/>
      </w:divBdr>
    </w:div>
    <w:div w:id="1575777601">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45424928">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61158262">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848401676">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1932658607">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AA1D-86C2-4332-9322-4ECEBCD0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2928</Words>
  <Characters>16696</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Iacob</cp:lastModifiedBy>
  <cp:revision>4</cp:revision>
  <cp:lastPrinted>2023-09-07T08:07:00Z</cp:lastPrinted>
  <dcterms:created xsi:type="dcterms:W3CDTF">2023-10-05T08:13:00Z</dcterms:created>
  <dcterms:modified xsi:type="dcterms:W3CDTF">2023-10-05T13:42:00Z</dcterms:modified>
</cp:coreProperties>
</file>